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07C76" w14:textId="4F57D998" w:rsidR="007D60E9" w:rsidRPr="001E485D" w:rsidRDefault="007D60E9" w:rsidP="007D60E9">
      <w:pPr>
        <w:rPr>
          <w:b/>
          <w:sz w:val="36"/>
          <w:szCs w:val="36"/>
        </w:rPr>
      </w:pPr>
      <w:r>
        <w:rPr>
          <w:b/>
          <w:sz w:val="36"/>
          <w:szCs w:val="36"/>
        </w:rPr>
        <w:t xml:space="preserve">Chapter </w:t>
      </w:r>
      <w:r w:rsidR="00996550">
        <w:rPr>
          <w:b/>
          <w:sz w:val="36"/>
          <w:szCs w:val="36"/>
        </w:rPr>
        <w:t>7</w:t>
      </w:r>
      <w:r w:rsidR="00C12F74">
        <w:rPr>
          <w:b/>
          <w:sz w:val="36"/>
          <w:szCs w:val="36"/>
        </w:rPr>
        <w:t>:</w:t>
      </w:r>
      <w:r>
        <w:rPr>
          <w:b/>
          <w:sz w:val="36"/>
          <w:szCs w:val="36"/>
        </w:rPr>
        <w:t xml:space="preserve"> </w:t>
      </w:r>
      <w:r w:rsidR="00996550">
        <w:rPr>
          <w:b/>
          <w:sz w:val="36"/>
          <w:szCs w:val="36"/>
        </w:rPr>
        <w:t>Special Considerations for Multijurisdictional</w:t>
      </w:r>
      <w:r>
        <w:rPr>
          <w:b/>
          <w:sz w:val="36"/>
          <w:szCs w:val="36"/>
        </w:rPr>
        <w:t xml:space="preserve"> Outbreak</w:t>
      </w:r>
      <w:r w:rsidR="00996550">
        <w:rPr>
          <w:b/>
          <w:sz w:val="36"/>
          <w:szCs w:val="36"/>
        </w:rPr>
        <w:t>s</w:t>
      </w:r>
      <w:r>
        <w:rPr>
          <w:b/>
          <w:sz w:val="36"/>
          <w:szCs w:val="36"/>
        </w:rPr>
        <w:t xml:space="preserve"> </w:t>
      </w:r>
    </w:p>
    <w:p w14:paraId="56968227" w14:textId="01D37A30" w:rsidR="0079524C" w:rsidRPr="00C12F74" w:rsidRDefault="007D60E9" w:rsidP="007D60E9">
      <w:pPr>
        <w:rPr>
          <w:sz w:val="28"/>
          <w:szCs w:val="28"/>
        </w:rPr>
      </w:pPr>
      <w:r w:rsidRPr="00C12F74">
        <w:rPr>
          <w:b/>
          <w:sz w:val="28"/>
          <w:szCs w:val="28"/>
        </w:rPr>
        <w:t>Chapter Summary Points:</w:t>
      </w:r>
    </w:p>
    <w:p w14:paraId="51AF5543" w14:textId="77777777" w:rsidR="00AE1C3D" w:rsidRDefault="00556A79" w:rsidP="00AE1C3D">
      <w:pPr>
        <w:pStyle w:val="ListParagraph"/>
        <w:numPr>
          <w:ilvl w:val="0"/>
          <w:numId w:val="11"/>
        </w:numPr>
        <w:rPr>
          <w:rStyle w:val="A3"/>
          <w:bCs/>
          <w:color w:val="auto"/>
          <w:sz w:val="24"/>
          <w:szCs w:val="24"/>
        </w:rPr>
      </w:pPr>
      <w:r w:rsidRPr="00556A79">
        <w:rPr>
          <w:rStyle w:val="A3"/>
          <w:bCs/>
          <w:color w:val="auto"/>
          <w:sz w:val="24"/>
          <w:szCs w:val="24"/>
        </w:rPr>
        <w:t xml:space="preserve">A multijurisdictional foodborne illness outbreak requires the resources of more than one local, state, territorial, tribal, or federal public health or food-regulatory agency to detect, investigate, or control.  </w:t>
      </w:r>
    </w:p>
    <w:p w14:paraId="29A32EEA" w14:textId="7A50C484" w:rsidR="00996550" w:rsidRPr="00AE1C3D" w:rsidRDefault="006A788C" w:rsidP="00AE1C3D">
      <w:pPr>
        <w:pStyle w:val="ListParagraph"/>
        <w:numPr>
          <w:ilvl w:val="0"/>
          <w:numId w:val="11"/>
        </w:numPr>
        <w:rPr>
          <w:rStyle w:val="A3"/>
          <w:bCs/>
          <w:color w:val="auto"/>
          <w:sz w:val="24"/>
          <w:szCs w:val="24"/>
        </w:rPr>
      </w:pPr>
      <w:r>
        <w:rPr>
          <w:rStyle w:val="A3"/>
          <w:bCs/>
          <w:color w:val="auto"/>
          <w:sz w:val="24"/>
          <w:szCs w:val="24"/>
        </w:rPr>
        <w:t>Special efforts may be needed</w:t>
      </w:r>
      <w:r w:rsidR="00556A79" w:rsidRPr="00AE1C3D">
        <w:rPr>
          <w:rStyle w:val="A3"/>
          <w:bCs/>
          <w:color w:val="auto"/>
          <w:sz w:val="24"/>
          <w:szCs w:val="24"/>
        </w:rPr>
        <w:t xml:space="preserve"> to</w:t>
      </w:r>
      <w:r w:rsidR="00996550" w:rsidRPr="00AE1C3D">
        <w:rPr>
          <w:rStyle w:val="A3"/>
          <w:bCs/>
          <w:color w:val="auto"/>
          <w:sz w:val="24"/>
          <w:szCs w:val="24"/>
        </w:rPr>
        <w:t>:</w:t>
      </w:r>
    </w:p>
    <w:p w14:paraId="383BF06D" w14:textId="77777777" w:rsidR="006A788C" w:rsidRPr="00996550" w:rsidRDefault="006A788C" w:rsidP="00F523E9">
      <w:pPr>
        <w:pStyle w:val="ListParagraph"/>
        <w:numPr>
          <w:ilvl w:val="1"/>
          <w:numId w:val="11"/>
        </w:numPr>
        <w:ind w:left="1080"/>
        <w:rPr>
          <w:rStyle w:val="A3"/>
          <w:bCs/>
          <w:color w:val="auto"/>
          <w:sz w:val="24"/>
          <w:szCs w:val="24"/>
        </w:rPr>
      </w:pPr>
      <w:r w:rsidRPr="00996550">
        <w:rPr>
          <w:rStyle w:val="A3"/>
          <w:bCs/>
          <w:color w:val="auto"/>
          <w:sz w:val="24"/>
          <w:szCs w:val="24"/>
        </w:rPr>
        <w:t>Help agencies identify multijurisdictional outbreaks and key partners once a multijurisdictional outbreak has been detected.</w:t>
      </w:r>
    </w:p>
    <w:p w14:paraId="744B930F" w14:textId="24FBCEF3" w:rsidR="00996550" w:rsidRPr="00996550" w:rsidRDefault="006A788C" w:rsidP="00F523E9">
      <w:pPr>
        <w:pStyle w:val="ListParagraph"/>
        <w:numPr>
          <w:ilvl w:val="1"/>
          <w:numId w:val="11"/>
        </w:numPr>
        <w:ind w:left="1080"/>
        <w:rPr>
          <w:rStyle w:val="A3"/>
          <w:bCs/>
          <w:color w:val="auto"/>
          <w:sz w:val="24"/>
          <w:szCs w:val="24"/>
        </w:rPr>
      </w:pPr>
      <w:r>
        <w:rPr>
          <w:rStyle w:val="A3"/>
          <w:bCs/>
          <w:color w:val="auto"/>
          <w:sz w:val="24"/>
          <w:szCs w:val="24"/>
        </w:rPr>
        <w:t>I</w:t>
      </w:r>
      <w:r w:rsidR="00996550" w:rsidRPr="00996550">
        <w:rPr>
          <w:rStyle w:val="A3"/>
          <w:bCs/>
          <w:color w:val="auto"/>
          <w:sz w:val="24"/>
          <w:szCs w:val="24"/>
        </w:rPr>
        <w:t>mprove communication and coordination among agencies at all levels of government that are investigating multijurisdictional outbreaks</w:t>
      </w:r>
    </w:p>
    <w:p w14:paraId="7740F084" w14:textId="5CB9099D" w:rsidR="00996550" w:rsidRPr="00996550" w:rsidRDefault="00996550" w:rsidP="00F523E9">
      <w:pPr>
        <w:pStyle w:val="ListParagraph"/>
        <w:numPr>
          <w:ilvl w:val="1"/>
          <w:numId w:val="11"/>
        </w:numPr>
        <w:ind w:left="1080"/>
        <w:rPr>
          <w:rStyle w:val="A3"/>
          <w:bCs/>
          <w:color w:val="auto"/>
          <w:sz w:val="24"/>
          <w:szCs w:val="24"/>
        </w:rPr>
      </w:pPr>
      <w:r w:rsidRPr="00996550">
        <w:rPr>
          <w:rStyle w:val="A3"/>
          <w:bCs/>
          <w:color w:val="auto"/>
          <w:sz w:val="24"/>
          <w:szCs w:val="24"/>
        </w:rPr>
        <w:t xml:space="preserve">Increase the speed of investigating and controlling </w:t>
      </w:r>
      <w:r w:rsidR="006A788C">
        <w:rPr>
          <w:rStyle w:val="A3"/>
          <w:bCs/>
          <w:color w:val="auto"/>
          <w:sz w:val="24"/>
          <w:szCs w:val="24"/>
        </w:rPr>
        <w:t xml:space="preserve">multijurisdictional </w:t>
      </w:r>
      <w:r w:rsidRPr="00996550">
        <w:rPr>
          <w:rStyle w:val="A3"/>
          <w:bCs/>
          <w:color w:val="auto"/>
          <w:sz w:val="24"/>
          <w:szCs w:val="24"/>
        </w:rPr>
        <w:t>outbreaks</w:t>
      </w:r>
    </w:p>
    <w:p w14:paraId="1A7CD25C" w14:textId="77777777" w:rsidR="00802A40" w:rsidRDefault="00802A40">
      <w:pPr>
        <w:rPr>
          <w:rStyle w:val="A3"/>
          <w:bCs/>
          <w:color w:val="auto"/>
          <w:sz w:val="24"/>
          <w:szCs w:val="24"/>
        </w:rPr>
      </w:pPr>
      <w:r>
        <w:rPr>
          <w:rStyle w:val="A3"/>
          <w:bCs/>
          <w:color w:val="auto"/>
          <w:sz w:val="24"/>
          <w:szCs w:val="24"/>
        </w:rPr>
        <w:br w:type="page"/>
      </w:r>
    </w:p>
    <w:p w14:paraId="1746B484" w14:textId="7A4E2EFF" w:rsidR="002D7202" w:rsidRPr="001F0FDC" w:rsidRDefault="00996550" w:rsidP="0B93A777">
      <w:pPr>
        <w:rPr>
          <w:rStyle w:val="A3"/>
          <w:b/>
          <w:bCs/>
          <w:color w:val="auto"/>
        </w:rPr>
      </w:pPr>
      <w:r>
        <w:rPr>
          <w:rStyle w:val="A3"/>
          <w:b/>
          <w:bCs/>
          <w:color w:val="auto"/>
        </w:rPr>
        <w:lastRenderedPageBreak/>
        <w:t>7</w:t>
      </w:r>
      <w:r w:rsidR="0B93A777" w:rsidRPr="0B93A777">
        <w:rPr>
          <w:rStyle w:val="A3"/>
          <w:b/>
          <w:bCs/>
          <w:color w:val="auto"/>
        </w:rPr>
        <w:t>.0 Introduction</w:t>
      </w:r>
    </w:p>
    <w:p w14:paraId="022F9424" w14:textId="49C18154" w:rsidR="00610E5B" w:rsidRPr="00332478" w:rsidRDefault="00610E5B" w:rsidP="00610E5B">
      <w:r w:rsidRPr="00332478">
        <w:t xml:space="preserve">The general approaches to investigating clusters and outbreaks of foodborne illnesses are described in Chapter 5. </w:t>
      </w:r>
      <w:r w:rsidR="0007163E" w:rsidRPr="00332478">
        <w:t>“M</w:t>
      </w:r>
      <w:r w:rsidRPr="00332478">
        <w:t xml:space="preserve">ultijurisdictional” </w:t>
      </w:r>
      <w:r w:rsidR="0007163E" w:rsidRPr="00332478">
        <w:t>investigations</w:t>
      </w:r>
      <w:r w:rsidRPr="00332478">
        <w:t xml:space="preserve"> </w:t>
      </w:r>
      <w:r w:rsidR="006A788C" w:rsidRPr="00332478">
        <w:t>span</w:t>
      </w:r>
      <w:r w:rsidRPr="00332478">
        <w:t xml:space="preserve"> the </w:t>
      </w:r>
      <w:r w:rsidR="006A788C" w:rsidRPr="00332478">
        <w:t xml:space="preserve">range from </w:t>
      </w:r>
      <w:r w:rsidRPr="00332478">
        <w:t xml:space="preserve">various dimensions of different agencies at a local level collaborating on a simple investigation to a </w:t>
      </w:r>
      <w:r w:rsidR="0007163E" w:rsidRPr="00332478">
        <w:t xml:space="preserve">large </w:t>
      </w:r>
      <w:r w:rsidRPr="00332478">
        <w:t xml:space="preserve">multistate outbreak, and potential identification of imported foods. </w:t>
      </w:r>
      <w:r w:rsidR="0007163E" w:rsidRPr="00332478">
        <w:t xml:space="preserve">As the number of agencies and levels of organizations across jurisdictions increases, the need for special efforts to maintain effective </w:t>
      </w:r>
      <w:r w:rsidRPr="00332478">
        <w:t xml:space="preserve">communication and coordination </w:t>
      </w:r>
      <w:r w:rsidR="0007163E" w:rsidRPr="00332478">
        <w:t>increases as well.</w:t>
      </w:r>
      <w:r w:rsidRPr="00332478">
        <w:t xml:space="preserve"> </w:t>
      </w:r>
    </w:p>
    <w:p w14:paraId="1DA341ED" w14:textId="0B980BE1" w:rsidR="006E588D" w:rsidRDefault="006E588D" w:rsidP="006E588D">
      <w:pPr>
        <w:rPr>
          <w:b/>
        </w:rPr>
      </w:pPr>
      <w:r w:rsidRPr="00323B4D">
        <w:rPr>
          <w:b/>
          <w:sz w:val="28"/>
          <w:szCs w:val="28"/>
        </w:rPr>
        <w:t xml:space="preserve">7.1 </w:t>
      </w:r>
      <w:r w:rsidR="00DB4B36" w:rsidRPr="00323B4D">
        <w:rPr>
          <w:b/>
          <w:sz w:val="28"/>
          <w:szCs w:val="28"/>
        </w:rPr>
        <w:t>Categories and frequency of multijurisdictional outbreaks</w:t>
      </w:r>
    </w:p>
    <w:p w14:paraId="3FEF1BCF" w14:textId="43731983" w:rsidR="000E120E" w:rsidRDefault="000E120E" w:rsidP="000E120E">
      <w:r w:rsidRPr="000E120E">
        <w:t xml:space="preserve">A multijurisdictional foodborne illness outbreak requires the resources of more than one local, state, territorial, tribal, or federal public health or food-regulatory agency to detect, investigate, or control. </w:t>
      </w:r>
      <w:r>
        <w:t xml:space="preserve">Table 7.1 highlights categories of multijurisdictional outbreaks. For some, such as multistate outbreaks identified through PulseNET </w:t>
      </w:r>
      <w:r w:rsidR="003629CA">
        <w:t xml:space="preserve">WGS </w:t>
      </w:r>
      <w:r>
        <w:t xml:space="preserve">surveillance, the multijurisdictional nature of the outbreak may be readily apparent. For others, it may emerge during the course of the investigation. </w:t>
      </w:r>
      <w:r w:rsidRPr="000E120E">
        <w:t>Sp</w:t>
      </w:r>
      <w:r>
        <w:t>ecial efforts may be needed to h</w:t>
      </w:r>
      <w:r w:rsidRPr="000E120E">
        <w:t>elp agencies identify multijurisdictional outbreaks and key partners once a multijurisdictional outbreak has been detected.</w:t>
      </w:r>
    </w:p>
    <w:p w14:paraId="7D67D4FD" w14:textId="181112C5" w:rsidR="00CE6F50" w:rsidRPr="004303C8" w:rsidRDefault="00130352" w:rsidP="006E588D">
      <w:r w:rsidRPr="00130352">
        <w:t>The passage of the Food Safety Modernization Act (FSMA) in 2011 gave new authorities to the Food and Drug Administration (FDA) and enhanced surveillance and response capacity at local, state and federal levels.</w:t>
      </w:r>
      <w:r>
        <w:t xml:space="preserve">  Combined with the development and implementation of WGS, these investments in foodborne disease surveillance have increased the number and percentage of outbreaks recognized as multijurisdictional (Table 7.2). For example, </w:t>
      </w:r>
      <w:r w:rsidR="003C768E">
        <w:t>during</w:t>
      </w:r>
      <w:r w:rsidR="003C768E">
        <w:t xml:space="preserve"> </w:t>
      </w:r>
      <w:r>
        <w:t xml:space="preserve">2006–2010, 25% of foodborne illness outbreaks reported to the Centers for Disease Control and Prevention (CDC) National Outbreak Reporting System [NORS] involved multistate or multicounty exposures or affected residents of multiple states or counties. </w:t>
      </w:r>
      <w:r w:rsidR="003C768E">
        <w:t>During</w:t>
      </w:r>
      <w:r w:rsidR="003C768E">
        <w:t xml:space="preserve"> </w:t>
      </w:r>
      <w:r>
        <w:t xml:space="preserve">2011-2016 </w:t>
      </w:r>
      <w:r w:rsidR="005D53E3">
        <w:t xml:space="preserve">the number of outbreaks </w:t>
      </w:r>
      <w:r>
        <w:t xml:space="preserve">jumped to 38%.  </w:t>
      </w:r>
      <w:r w:rsidR="004303C8">
        <w:t xml:space="preserve">In </w:t>
      </w:r>
      <w:r>
        <w:t>particular</w:t>
      </w:r>
      <w:r w:rsidR="004303C8">
        <w:t>, 85</w:t>
      </w:r>
      <w:r>
        <w:t xml:space="preserve">% of </w:t>
      </w:r>
      <w:r w:rsidRPr="004303C8">
        <w:rPr>
          <w:i/>
        </w:rPr>
        <w:t>Escherichia coli</w:t>
      </w:r>
      <w:r>
        <w:t xml:space="preserve"> O157:H7 outbreaks and </w:t>
      </w:r>
      <w:r w:rsidR="004303C8">
        <w:t>63</w:t>
      </w:r>
      <w:r>
        <w:t xml:space="preserve">% of </w:t>
      </w:r>
      <w:r w:rsidRPr="004303C8">
        <w:rPr>
          <w:i/>
        </w:rPr>
        <w:t>Salmonella</w:t>
      </w:r>
      <w:r>
        <w:t xml:space="preserve"> outbreaks were multijurisdictional, discovered largely through PulseNet. Thus, for these most important foodborne pathogens, the need for multijur</w:t>
      </w:r>
      <w:r w:rsidR="004303C8">
        <w:t xml:space="preserve">isdictional coordination should </w:t>
      </w:r>
      <w:r>
        <w:t>be anticipated during the earliest stages of an investigation.</w:t>
      </w:r>
    </w:p>
    <w:tbl>
      <w:tblPr>
        <w:tblW w:w="8190" w:type="dxa"/>
        <w:tblInd w:w="85" w:type="dxa"/>
        <w:tblBorders>
          <w:top w:val="single" w:sz="4" w:space="0" w:color="1C3E94"/>
          <w:left w:val="single" w:sz="4" w:space="0" w:color="1C3E94"/>
          <w:bottom w:val="single" w:sz="4" w:space="0" w:color="1C3E94"/>
          <w:right w:val="single" w:sz="4" w:space="0" w:color="1C3E94"/>
          <w:insideH w:val="single" w:sz="4" w:space="0" w:color="1C3E94"/>
          <w:insideV w:val="single" w:sz="4" w:space="0" w:color="1C3E94"/>
        </w:tblBorders>
        <w:tblLayout w:type="fixed"/>
        <w:tblCellMar>
          <w:left w:w="0" w:type="dxa"/>
          <w:right w:w="0" w:type="dxa"/>
        </w:tblCellMar>
        <w:tblLook w:val="01E0" w:firstRow="1" w:lastRow="1" w:firstColumn="1" w:lastColumn="1" w:noHBand="0" w:noVBand="0"/>
      </w:tblPr>
      <w:tblGrid>
        <w:gridCol w:w="8190"/>
      </w:tblGrid>
      <w:tr w:rsidR="00DB4B36" w:rsidRPr="00DB4B36" w14:paraId="3DA11F5B" w14:textId="77777777" w:rsidTr="00DB4B36">
        <w:trPr>
          <w:trHeight w:hRule="exact" w:val="360"/>
        </w:trPr>
        <w:tc>
          <w:tcPr>
            <w:tcW w:w="8190" w:type="dxa"/>
            <w:shd w:val="clear" w:color="auto" w:fill="C4E3CA"/>
          </w:tcPr>
          <w:p w14:paraId="72E45BC2" w14:textId="77777777" w:rsidR="00DB4B36" w:rsidRPr="00DB4B36" w:rsidRDefault="00DB4B36" w:rsidP="00DB4B36">
            <w:pPr>
              <w:rPr>
                <w:b/>
              </w:rPr>
            </w:pPr>
            <w:r w:rsidRPr="00DB4B36">
              <w:rPr>
                <w:b/>
              </w:rPr>
              <w:t>Table 7.1. Categories of multijurisdictional outbreaks</w:t>
            </w:r>
          </w:p>
        </w:tc>
      </w:tr>
      <w:tr w:rsidR="00DB4B36" w:rsidRPr="00DB4B36" w14:paraId="5B80A1E1" w14:textId="77777777" w:rsidTr="00DB4B36">
        <w:trPr>
          <w:trHeight w:hRule="exact" w:val="644"/>
        </w:trPr>
        <w:tc>
          <w:tcPr>
            <w:tcW w:w="8190" w:type="dxa"/>
            <w:shd w:val="clear" w:color="auto" w:fill="D4E0F3"/>
          </w:tcPr>
          <w:p w14:paraId="3D7673DE" w14:textId="77777777" w:rsidR="00DB4B36" w:rsidRDefault="00DB4B36" w:rsidP="00DB4B36">
            <w:pPr>
              <w:spacing w:after="0"/>
            </w:pPr>
            <w:r w:rsidRPr="00DB4B36">
              <w:t xml:space="preserve">1. Outbreaks affecting multiple local health jurisdictions (e.g., city, county, town) within </w:t>
            </w:r>
          </w:p>
          <w:p w14:paraId="693CC5E4" w14:textId="684F18C7" w:rsidR="00DB4B36" w:rsidRPr="00DB4B36" w:rsidRDefault="00DB4B36" w:rsidP="00DB4B36">
            <w:pPr>
              <w:spacing w:after="0"/>
            </w:pPr>
            <w:r w:rsidRPr="00DB4B36">
              <w:t>the same state</w:t>
            </w:r>
          </w:p>
        </w:tc>
      </w:tr>
      <w:tr w:rsidR="00DB4B36" w:rsidRPr="00DB4B36" w14:paraId="54B3BB50" w14:textId="77777777" w:rsidTr="00DB4B36">
        <w:trPr>
          <w:trHeight w:hRule="exact" w:val="360"/>
        </w:trPr>
        <w:tc>
          <w:tcPr>
            <w:tcW w:w="8190" w:type="dxa"/>
            <w:shd w:val="clear" w:color="auto" w:fill="DAEDDD"/>
          </w:tcPr>
          <w:p w14:paraId="70CF1DB6" w14:textId="77777777" w:rsidR="00DB4B36" w:rsidRPr="00DB4B36" w:rsidRDefault="00DB4B36" w:rsidP="00DB4B36">
            <w:r w:rsidRPr="00DB4B36">
              <w:t>2. Outbreaks involving multiple states</w:t>
            </w:r>
          </w:p>
        </w:tc>
      </w:tr>
      <w:tr w:rsidR="00DB4B36" w:rsidRPr="00DB4B36" w14:paraId="5BCF6D73" w14:textId="77777777" w:rsidTr="00DB4B36">
        <w:trPr>
          <w:trHeight w:hRule="exact" w:val="360"/>
        </w:trPr>
        <w:tc>
          <w:tcPr>
            <w:tcW w:w="8190" w:type="dxa"/>
            <w:shd w:val="clear" w:color="auto" w:fill="D4E0F3"/>
          </w:tcPr>
          <w:p w14:paraId="0E25D0FF" w14:textId="77777777" w:rsidR="00DB4B36" w:rsidRPr="00DB4B36" w:rsidRDefault="00DB4B36" w:rsidP="00DB4B36">
            <w:r w:rsidRPr="00DB4B36">
              <w:t>3. Outbreaks involving multiple countries</w:t>
            </w:r>
          </w:p>
        </w:tc>
      </w:tr>
      <w:tr w:rsidR="00DB4B36" w:rsidRPr="00DB4B36" w14:paraId="7909EF1E" w14:textId="77777777" w:rsidTr="00DB4B36">
        <w:trPr>
          <w:trHeight w:hRule="exact" w:val="626"/>
        </w:trPr>
        <w:tc>
          <w:tcPr>
            <w:tcW w:w="8190" w:type="dxa"/>
            <w:shd w:val="clear" w:color="auto" w:fill="DAEDDD"/>
          </w:tcPr>
          <w:p w14:paraId="3FA6B210" w14:textId="77777777" w:rsidR="00DB4B36" w:rsidRPr="00DB4B36" w:rsidRDefault="00DB4B36" w:rsidP="00DB4B36">
            <w:r w:rsidRPr="00DB4B36">
              <w:t>4. Outbreaks affecting multiple distinct agencies (e.g., public health, food-regulatory, emergency management)</w:t>
            </w:r>
          </w:p>
        </w:tc>
      </w:tr>
      <w:tr w:rsidR="00DB4B36" w:rsidRPr="00DB4B36" w14:paraId="38CA7E17" w14:textId="77777777" w:rsidTr="00DB4B36">
        <w:trPr>
          <w:trHeight w:hRule="exact" w:val="986"/>
        </w:trPr>
        <w:tc>
          <w:tcPr>
            <w:tcW w:w="8190" w:type="dxa"/>
            <w:shd w:val="clear" w:color="auto" w:fill="D4E0F3"/>
          </w:tcPr>
          <w:p w14:paraId="0D2753E7" w14:textId="0C5AE068" w:rsidR="00DB4B36" w:rsidRPr="00DB4B36" w:rsidRDefault="00DB4B36" w:rsidP="00DB4B36">
            <w:r w:rsidRPr="00DB4B36">
              <w:lastRenderedPageBreak/>
              <w:t>5. Outbreaks, regardless of jurisdiction, caused by highly pathogenic or unusual agent</w:t>
            </w:r>
            <w:r w:rsidR="003C768E">
              <w:t>s</w:t>
            </w:r>
            <w:r w:rsidRPr="00DB4B36">
              <w:t xml:space="preserve"> (e.g., </w:t>
            </w:r>
            <w:r w:rsidRPr="00DB4B36">
              <w:rPr>
                <w:i/>
              </w:rPr>
              <w:t>Clostridium botulinum</w:t>
            </w:r>
            <w:r w:rsidRPr="00DB4B36">
              <w:t>) that may require specialized laboratory testing, investigation procedures, or treatment</w:t>
            </w:r>
          </w:p>
        </w:tc>
      </w:tr>
      <w:tr w:rsidR="00DB4B36" w:rsidRPr="00DB4B36" w14:paraId="70F214DD" w14:textId="77777777" w:rsidTr="00DB4B36">
        <w:trPr>
          <w:trHeight w:hRule="exact" w:val="734"/>
        </w:trPr>
        <w:tc>
          <w:tcPr>
            <w:tcW w:w="8190" w:type="dxa"/>
            <w:shd w:val="clear" w:color="auto" w:fill="DAEDDD"/>
          </w:tcPr>
          <w:p w14:paraId="4B540289" w14:textId="77777777" w:rsidR="00DB4B36" w:rsidRPr="00DB4B36" w:rsidRDefault="00DB4B36" w:rsidP="00DB4B36">
            <w:r w:rsidRPr="00DB4B36">
              <w:t>6. Outbreaks in which the suspected or implicated vehicle is a commercially distributed, processed, or ready-to-eat food contaminated before the point of service</w:t>
            </w:r>
          </w:p>
        </w:tc>
      </w:tr>
      <w:tr w:rsidR="00DB4B36" w:rsidRPr="00DB4B36" w14:paraId="22F12C33" w14:textId="77777777" w:rsidTr="00DB4B36">
        <w:trPr>
          <w:trHeight w:hRule="exact" w:val="626"/>
        </w:trPr>
        <w:tc>
          <w:tcPr>
            <w:tcW w:w="8190" w:type="dxa"/>
            <w:shd w:val="clear" w:color="auto" w:fill="D4E0F3"/>
          </w:tcPr>
          <w:p w14:paraId="12174CFC" w14:textId="77777777" w:rsidR="00DB4B36" w:rsidRPr="00DB4B36" w:rsidRDefault="00DB4B36" w:rsidP="00DB4B36">
            <w:r w:rsidRPr="00DB4B36">
              <w:t>7. Outbreaks involving large numbers of cases that may require additional resources to investigate</w:t>
            </w:r>
          </w:p>
        </w:tc>
      </w:tr>
      <w:tr w:rsidR="00DB4B36" w:rsidRPr="00DB4B36" w14:paraId="4C0CE5D9" w14:textId="77777777" w:rsidTr="00DB4B36">
        <w:trPr>
          <w:trHeight w:hRule="exact" w:val="360"/>
        </w:trPr>
        <w:tc>
          <w:tcPr>
            <w:tcW w:w="8190" w:type="dxa"/>
            <w:shd w:val="clear" w:color="auto" w:fill="DAEDDD"/>
          </w:tcPr>
          <w:p w14:paraId="19397367" w14:textId="77777777" w:rsidR="00DB4B36" w:rsidRPr="00DB4B36" w:rsidRDefault="00DB4B36" w:rsidP="00DB4B36">
            <w:r w:rsidRPr="00DB4B36">
              <w:t>8. Outbreaks in which intentional contamination is suspected</w:t>
            </w:r>
          </w:p>
        </w:tc>
      </w:tr>
    </w:tbl>
    <w:p w14:paraId="37B45B89" w14:textId="547DCACB" w:rsidR="006A788C" w:rsidRDefault="006A788C" w:rsidP="002D7202"/>
    <w:p w14:paraId="10669E0E" w14:textId="46B54F66" w:rsidR="004303C8" w:rsidRDefault="004303C8" w:rsidP="004303C8">
      <w:r>
        <w:t>Specifically related to multijurisdictional outbreaks, recent investments have been made to:</w:t>
      </w:r>
    </w:p>
    <w:p w14:paraId="4BCA40A6" w14:textId="5A3B3CC9" w:rsidR="004303C8" w:rsidRDefault="004303C8" w:rsidP="003C768E">
      <w:pPr>
        <w:tabs>
          <w:tab w:val="left" w:pos="540"/>
        </w:tabs>
        <w:spacing w:after="0"/>
      </w:pPr>
      <w:r>
        <w:t>•</w:t>
      </w:r>
      <w:r>
        <w:tab/>
        <w:t xml:space="preserve">Improve coordination and data sharing </w:t>
      </w:r>
      <w:r w:rsidR="00C65BE1">
        <w:t xml:space="preserve">between </w:t>
      </w:r>
      <w:r>
        <w:t>public health partners and the public;</w:t>
      </w:r>
    </w:p>
    <w:p w14:paraId="24105362" w14:textId="0459FE6F" w:rsidR="004303C8" w:rsidRDefault="004303C8" w:rsidP="003C768E">
      <w:pPr>
        <w:tabs>
          <w:tab w:val="left" w:pos="540"/>
        </w:tabs>
        <w:spacing w:after="0"/>
      </w:pPr>
      <w:r>
        <w:t>•</w:t>
      </w:r>
      <w:r>
        <w:tab/>
        <w:t>Increase state and local participation in national surveillance networks;</w:t>
      </w:r>
    </w:p>
    <w:p w14:paraId="215B9E89" w14:textId="77777777" w:rsidR="004303C8" w:rsidRDefault="004303C8" w:rsidP="003C768E">
      <w:pPr>
        <w:tabs>
          <w:tab w:val="left" w:pos="540"/>
        </w:tabs>
        <w:spacing w:after="0"/>
      </w:pPr>
      <w:r>
        <w:t>•</w:t>
      </w:r>
      <w:r>
        <w:tab/>
        <w:t>Expand and integrate national surveillance systems; and</w:t>
      </w:r>
    </w:p>
    <w:p w14:paraId="52DDAFA1" w14:textId="1E90DE45" w:rsidR="004303C8" w:rsidRDefault="004303C8" w:rsidP="003C768E">
      <w:pPr>
        <w:tabs>
          <w:tab w:val="left" w:pos="540"/>
          <w:tab w:val="left" w:pos="720"/>
        </w:tabs>
        <w:spacing w:after="0"/>
        <w:ind w:left="720" w:hanging="720"/>
      </w:pPr>
      <w:r>
        <w:t>•</w:t>
      </w:r>
      <w:r>
        <w:tab/>
        <w:t>Enhance laboratory and epidemiologic methods for agent identification and outbreak detection and investigation.</w:t>
      </w:r>
    </w:p>
    <w:p w14:paraId="36ABC453" w14:textId="77777777" w:rsidR="004303C8" w:rsidRDefault="004303C8" w:rsidP="003C768E">
      <w:pPr>
        <w:tabs>
          <w:tab w:val="left" w:pos="540"/>
        </w:tabs>
        <w:spacing w:after="0"/>
      </w:pPr>
    </w:p>
    <w:p w14:paraId="1DA7A6BB" w14:textId="77777777" w:rsidR="004303C8" w:rsidRDefault="004303C8" w:rsidP="003C768E">
      <w:pPr>
        <w:tabs>
          <w:tab w:val="left" w:pos="540"/>
        </w:tabs>
      </w:pPr>
      <w:r>
        <w:t>Coordinating offices for foodborne illness investigations in the three primary federal agencies include:</w:t>
      </w:r>
    </w:p>
    <w:p w14:paraId="43B41559" w14:textId="77777777" w:rsidR="004303C8" w:rsidRDefault="004303C8" w:rsidP="003C768E">
      <w:pPr>
        <w:tabs>
          <w:tab w:val="left" w:pos="540"/>
        </w:tabs>
        <w:spacing w:after="0"/>
      </w:pPr>
      <w:r>
        <w:t>•</w:t>
      </w:r>
      <w:r>
        <w:tab/>
        <w:t>CDC: Outbreak Response and Prevention Branch;</w:t>
      </w:r>
    </w:p>
    <w:p w14:paraId="6EA3C0C2" w14:textId="77777777" w:rsidR="004303C8" w:rsidRDefault="004303C8" w:rsidP="003C768E">
      <w:pPr>
        <w:tabs>
          <w:tab w:val="left" w:pos="540"/>
        </w:tabs>
        <w:spacing w:after="0"/>
      </w:pPr>
      <w:r>
        <w:t>•</w:t>
      </w:r>
      <w:r>
        <w:tab/>
        <w:t>FDA: Coordinated Outbreak Response and Evaluation Network (CORE); and</w:t>
      </w:r>
    </w:p>
    <w:p w14:paraId="78D9BDFC" w14:textId="1B26D2FB" w:rsidR="004303C8" w:rsidRDefault="004303C8" w:rsidP="003C768E">
      <w:pPr>
        <w:tabs>
          <w:tab w:val="left" w:pos="540"/>
          <w:tab w:val="left" w:pos="720"/>
        </w:tabs>
        <w:spacing w:after="0"/>
        <w:ind w:left="720" w:hanging="720"/>
      </w:pPr>
      <w:r>
        <w:t>•</w:t>
      </w:r>
      <w:r>
        <w:tab/>
        <w:t>U.S. Department of Agriculture Food Safety and Inspection Service (USDA-FSIS): Applied Epidemiology</w:t>
      </w:r>
    </w:p>
    <w:p w14:paraId="27CFA0DF" w14:textId="000176C5" w:rsidR="004303C8" w:rsidRDefault="004303C8">
      <w:pPr>
        <w:rPr>
          <w:rFonts w:ascii="Calibri" w:eastAsia="Times New Roman" w:hAnsi="Calibri" w:cs="Calibri"/>
          <w:b/>
          <w:bCs/>
          <w:color w:val="000000"/>
        </w:rPr>
      </w:pPr>
      <w:r>
        <w:rPr>
          <w:rFonts w:ascii="Calibri" w:eastAsia="Times New Roman" w:hAnsi="Calibri" w:cs="Calibri"/>
          <w:b/>
          <w:bCs/>
          <w:color w:val="000000"/>
        </w:rPr>
        <w:br w:type="page"/>
      </w:r>
    </w:p>
    <w:p w14:paraId="53360223" w14:textId="77777777" w:rsidR="00391340" w:rsidRDefault="00391340" w:rsidP="004B44D8">
      <w:pPr>
        <w:spacing w:after="0" w:line="240" w:lineRule="auto"/>
        <w:jc w:val="center"/>
        <w:rPr>
          <w:rFonts w:ascii="Calibri" w:eastAsia="Times New Roman" w:hAnsi="Calibri" w:cs="Calibri"/>
          <w:b/>
          <w:bCs/>
          <w:color w:val="000000"/>
        </w:rPr>
        <w:sectPr w:rsidR="00391340">
          <w:headerReference w:type="even" r:id="rId7"/>
          <w:headerReference w:type="default" r:id="rId8"/>
          <w:footerReference w:type="even" r:id="rId9"/>
          <w:footerReference w:type="default" r:id="rId10"/>
          <w:headerReference w:type="first" r:id="rId11"/>
          <w:footerReference w:type="first" r:id="rId12"/>
          <w:pgSz w:w="10080" w:h="14900"/>
          <w:pgMar w:top="1400" w:right="900" w:bottom="290" w:left="900" w:header="720" w:footer="720" w:gutter="0"/>
          <w:cols w:space="720"/>
          <w:noEndnote/>
        </w:sectPr>
      </w:pPr>
    </w:p>
    <w:tbl>
      <w:tblPr>
        <w:tblW w:w="11100" w:type="dxa"/>
        <w:tblInd w:w="1530" w:type="dxa"/>
        <w:tblLook w:val="04A0" w:firstRow="1" w:lastRow="0" w:firstColumn="1" w:lastColumn="0" w:noHBand="0" w:noVBand="1"/>
      </w:tblPr>
      <w:tblGrid>
        <w:gridCol w:w="250"/>
        <w:gridCol w:w="1730"/>
        <w:gridCol w:w="1424"/>
        <w:gridCol w:w="123"/>
        <w:gridCol w:w="1252"/>
        <w:gridCol w:w="494"/>
        <w:gridCol w:w="881"/>
        <w:gridCol w:w="480"/>
        <w:gridCol w:w="1155"/>
        <w:gridCol w:w="453"/>
        <w:gridCol w:w="1137"/>
        <w:gridCol w:w="291"/>
        <w:gridCol w:w="488"/>
        <w:gridCol w:w="942"/>
      </w:tblGrid>
      <w:tr w:rsidR="004B44D8" w:rsidRPr="004B44D8" w14:paraId="2BECB4E4" w14:textId="77777777" w:rsidTr="00391340">
        <w:trPr>
          <w:trHeight w:val="765"/>
        </w:trPr>
        <w:tc>
          <w:tcPr>
            <w:tcW w:w="9670" w:type="dxa"/>
            <w:gridSpan w:val="12"/>
            <w:tcBorders>
              <w:top w:val="nil"/>
              <w:left w:val="nil"/>
              <w:bottom w:val="nil"/>
              <w:right w:val="nil"/>
            </w:tcBorders>
            <w:shd w:val="clear" w:color="auto" w:fill="auto"/>
            <w:vAlign w:val="bottom"/>
            <w:hideMark/>
          </w:tcPr>
          <w:p w14:paraId="5D45B868" w14:textId="4DC92118" w:rsidR="004B44D8" w:rsidRPr="004B44D8" w:rsidRDefault="00391340" w:rsidP="004B44D8">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lastRenderedPageBreak/>
              <w:t>Table 7.2</w:t>
            </w:r>
            <w:r w:rsidR="004B44D8" w:rsidRPr="004B44D8">
              <w:rPr>
                <w:rFonts w:ascii="Calibri" w:eastAsia="Times New Roman" w:hAnsi="Calibri" w:cs="Calibri"/>
                <w:b/>
                <w:bCs/>
                <w:color w:val="000000"/>
              </w:rPr>
              <w:t>. Number of multistate exposure, multistate resident, multicountyexposure, and multicounty resident outbreaks, by etiology, United States, 2011-2016</w:t>
            </w:r>
          </w:p>
        </w:tc>
        <w:tc>
          <w:tcPr>
            <w:tcW w:w="1430" w:type="dxa"/>
            <w:gridSpan w:val="2"/>
            <w:tcBorders>
              <w:top w:val="nil"/>
              <w:left w:val="nil"/>
              <w:bottom w:val="nil"/>
              <w:right w:val="nil"/>
            </w:tcBorders>
            <w:shd w:val="clear" w:color="auto" w:fill="auto"/>
            <w:noWrap/>
            <w:vAlign w:val="bottom"/>
            <w:hideMark/>
          </w:tcPr>
          <w:p w14:paraId="56C05794" w14:textId="08C285A3" w:rsidR="004B44D8" w:rsidRPr="004B44D8" w:rsidRDefault="004B44D8" w:rsidP="004B44D8">
            <w:pPr>
              <w:spacing w:after="0" w:line="240" w:lineRule="auto"/>
              <w:rPr>
                <w:rFonts w:ascii="Calibri" w:eastAsia="Times New Roman" w:hAnsi="Calibri" w:cs="Calibri"/>
                <w:b/>
                <w:bCs/>
                <w:color w:val="000000"/>
              </w:rPr>
            </w:pPr>
          </w:p>
        </w:tc>
      </w:tr>
      <w:tr w:rsidR="00391340" w:rsidRPr="004B44D8" w14:paraId="3FCA26C7" w14:textId="77777777" w:rsidTr="00391340">
        <w:trPr>
          <w:trHeight w:val="675"/>
        </w:trPr>
        <w:tc>
          <w:tcPr>
            <w:tcW w:w="1980" w:type="dxa"/>
            <w:gridSpan w:val="2"/>
            <w:tcBorders>
              <w:top w:val="nil"/>
              <w:left w:val="nil"/>
              <w:bottom w:val="single" w:sz="4" w:space="0" w:color="auto"/>
              <w:right w:val="nil"/>
            </w:tcBorders>
            <w:shd w:val="clear" w:color="auto" w:fill="auto"/>
            <w:noWrap/>
            <w:vAlign w:val="bottom"/>
            <w:hideMark/>
          </w:tcPr>
          <w:p w14:paraId="32E4466D" w14:textId="77777777" w:rsidR="004B44D8" w:rsidRPr="004B44D8" w:rsidRDefault="004B44D8" w:rsidP="004B44D8">
            <w:pPr>
              <w:spacing w:after="0" w:line="240" w:lineRule="auto"/>
              <w:rPr>
                <w:rFonts w:ascii="Calibri" w:eastAsia="Times New Roman" w:hAnsi="Calibri" w:cs="Calibri"/>
                <w:b/>
                <w:bCs/>
                <w:color w:val="000000"/>
              </w:rPr>
            </w:pPr>
            <w:r w:rsidRPr="004B44D8">
              <w:rPr>
                <w:rFonts w:ascii="Calibri" w:eastAsia="Times New Roman" w:hAnsi="Calibri" w:cs="Calibri"/>
                <w:b/>
                <w:bCs/>
                <w:color w:val="000000"/>
              </w:rPr>
              <w:t>ETIOLOGY AND AGENT</w:t>
            </w:r>
          </w:p>
        </w:tc>
        <w:tc>
          <w:tcPr>
            <w:tcW w:w="1424" w:type="dxa"/>
            <w:tcBorders>
              <w:top w:val="nil"/>
              <w:left w:val="nil"/>
              <w:bottom w:val="single" w:sz="4" w:space="0" w:color="auto"/>
              <w:right w:val="nil"/>
            </w:tcBorders>
            <w:shd w:val="clear" w:color="auto" w:fill="auto"/>
            <w:vAlign w:val="bottom"/>
            <w:hideMark/>
          </w:tcPr>
          <w:p w14:paraId="7A6E94E4" w14:textId="29B19C72" w:rsidR="004B44D8" w:rsidRPr="004B44D8" w:rsidRDefault="00391340" w:rsidP="004B44D8">
            <w:pPr>
              <w:spacing w:after="0" w:line="240" w:lineRule="auto"/>
              <w:ind w:left="-45"/>
              <w:rPr>
                <w:rFonts w:ascii="Calibri" w:eastAsia="Times New Roman" w:hAnsi="Calibri" w:cs="Calibri"/>
                <w:b/>
                <w:bCs/>
                <w:color w:val="000000"/>
              </w:rPr>
            </w:pPr>
            <w:r>
              <w:rPr>
                <w:rFonts w:ascii="Calibri" w:eastAsia="Times New Roman" w:hAnsi="Calibri" w:cs="Calibri"/>
                <w:b/>
                <w:bCs/>
                <w:color w:val="000000"/>
              </w:rPr>
              <w:t xml:space="preserve">No. </w:t>
            </w:r>
            <w:r w:rsidR="004B44D8" w:rsidRPr="004B44D8">
              <w:rPr>
                <w:rFonts w:ascii="Calibri" w:eastAsia="Times New Roman" w:hAnsi="Calibri" w:cs="Calibri"/>
                <w:b/>
                <w:bCs/>
                <w:color w:val="000000"/>
              </w:rPr>
              <w:t>TOTAL OUTBREAKS</w:t>
            </w:r>
          </w:p>
        </w:tc>
        <w:tc>
          <w:tcPr>
            <w:tcW w:w="1375" w:type="dxa"/>
            <w:gridSpan w:val="2"/>
            <w:tcBorders>
              <w:top w:val="nil"/>
              <w:left w:val="nil"/>
              <w:bottom w:val="single" w:sz="4" w:space="0" w:color="auto"/>
              <w:right w:val="nil"/>
            </w:tcBorders>
            <w:shd w:val="clear" w:color="auto" w:fill="auto"/>
            <w:vAlign w:val="bottom"/>
            <w:hideMark/>
          </w:tcPr>
          <w:p w14:paraId="7F52F219" w14:textId="77777777" w:rsidR="004B44D8" w:rsidRPr="004B44D8" w:rsidRDefault="004B44D8" w:rsidP="004B44D8">
            <w:pPr>
              <w:spacing w:after="0" w:line="240" w:lineRule="auto"/>
              <w:rPr>
                <w:rFonts w:ascii="Calibri" w:eastAsia="Times New Roman" w:hAnsi="Calibri" w:cs="Calibri"/>
                <w:b/>
                <w:bCs/>
                <w:color w:val="000000"/>
              </w:rPr>
            </w:pPr>
            <w:r w:rsidRPr="004B44D8">
              <w:rPr>
                <w:rFonts w:ascii="Calibri" w:eastAsia="Times New Roman" w:hAnsi="Calibri" w:cs="Calibri"/>
                <w:b/>
                <w:bCs/>
                <w:color w:val="000000"/>
              </w:rPr>
              <w:t>MULTISTATE EXPOSURE</w:t>
            </w:r>
          </w:p>
        </w:tc>
        <w:tc>
          <w:tcPr>
            <w:tcW w:w="1375" w:type="dxa"/>
            <w:gridSpan w:val="2"/>
            <w:tcBorders>
              <w:top w:val="nil"/>
              <w:left w:val="nil"/>
              <w:bottom w:val="single" w:sz="4" w:space="0" w:color="auto"/>
              <w:right w:val="nil"/>
            </w:tcBorders>
            <w:shd w:val="clear" w:color="auto" w:fill="auto"/>
            <w:vAlign w:val="bottom"/>
            <w:hideMark/>
          </w:tcPr>
          <w:p w14:paraId="2C1EB247" w14:textId="77777777" w:rsidR="004B44D8" w:rsidRPr="004B44D8" w:rsidRDefault="004B44D8" w:rsidP="004B44D8">
            <w:pPr>
              <w:spacing w:after="0" w:line="240" w:lineRule="auto"/>
              <w:rPr>
                <w:rFonts w:ascii="Calibri" w:eastAsia="Times New Roman" w:hAnsi="Calibri" w:cs="Calibri"/>
                <w:b/>
                <w:bCs/>
                <w:color w:val="000000"/>
              </w:rPr>
            </w:pPr>
            <w:r w:rsidRPr="004B44D8">
              <w:rPr>
                <w:rFonts w:ascii="Calibri" w:eastAsia="Times New Roman" w:hAnsi="Calibri" w:cs="Calibri"/>
                <w:b/>
                <w:bCs/>
                <w:color w:val="000000"/>
              </w:rPr>
              <w:t>MULTISTATE RESIDENT</w:t>
            </w:r>
          </w:p>
        </w:tc>
        <w:tc>
          <w:tcPr>
            <w:tcW w:w="1635" w:type="dxa"/>
            <w:gridSpan w:val="2"/>
            <w:tcBorders>
              <w:top w:val="nil"/>
              <w:left w:val="nil"/>
              <w:bottom w:val="single" w:sz="4" w:space="0" w:color="auto"/>
              <w:right w:val="nil"/>
            </w:tcBorders>
            <w:shd w:val="clear" w:color="auto" w:fill="auto"/>
            <w:vAlign w:val="bottom"/>
            <w:hideMark/>
          </w:tcPr>
          <w:p w14:paraId="30AA17C0" w14:textId="77777777" w:rsidR="004B44D8" w:rsidRPr="004B44D8" w:rsidRDefault="004B44D8" w:rsidP="004B44D8">
            <w:pPr>
              <w:spacing w:after="0" w:line="240" w:lineRule="auto"/>
              <w:rPr>
                <w:rFonts w:ascii="Calibri" w:eastAsia="Times New Roman" w:hAnsi="Calibri" w:cs="Calibri"/>
                <w:b/>
                <w:bCs/>
                <w:color w:val="000000"/>
              </w:rPr>
            </w:pPr>
            <w:r w:rsidRPr="004B44D8">
              <w:rPr>
                <w:rFonts w:ascii="Calibri" w:eastAsia="Times New Roman" w:hAnsi="Calibri" w:cs="Calibri"/>
                <w:b/>
                <w:bCs/>
                <w:color w:val="000000"/>
              </w:rPr>
              <w:t>MULTICOUNTY EXPOSURE</w:t>
            </w:r>
          </w:p>
        </w:tc>
        <w:tc>
          <w:tcPr>
            <w:tcW w:w="1590" w:type="dxa"/>
            <w:gridSpan w:val="2"/>
            <w:tcBorders>
              <w:top w:val="nil"/>
              <w:left w:val="nil"/>
              <w:bottom w:val="single" w:sz="4" w:space="0" w:color="auto"/>
              <w:right w:val="nil"/>
            </w:tcBorders>
            <w:shd w:val="clear" w:color="auto" w:fill="auto"/>
            <w:vAlign w:val="bottom"/>
            <w:hideMark/>
          </w:tcPr>
          <w:p w14:paraId="085DDEF2" w14:textId="77777777" w:rsidR="004B44D8" w:rsidRPr="004B44D8" w:rsidRDefault="004B44D8" w:rsidP="004B44D8">
            <w:pPr>
              <w:spacing w:after="0" w:line="240" w:lineRule="auto"/>
              <w:rPr>
                <w:rFonts w:ascii="Calibri" w:eastAsia="Times New Roman" w:hAnsi="Calibri" w:cs="Calibri"/>
                <w:b/>
                <w:bCs/>
                <w:color w:val="000000"/>
              </w:rPr>
            </w:pPr>
            <w:r w:rsidRPr="004B44D8">
              <w:rPr>
                <w:rFonts w:ascii="Calibri" w:eastAsia="Times New Roman" w:hAnsi="Calibri" w:cs="Calibri"/>
                <w:b/>
                <w:bCs/>
                <w:color w:val="000000"/>
              </w:rPr>
              <w:t>MULTICOUNTY RESIDENT</w:t>
            </w:r>
          </w:p>
        </w:tc>
        <w:tc>
          <w:tcPr>
            <w:tcW w:w="1721" w:type="dxa"/>
            <w:gridSpan w:val="3"/>
            <w:tcBorders>
              <w:top w:val="nil"/>
              <w:left w:val="nil"/>
              <w:bottom w:val="single" w:sz="4" w:space="0" w:color="auto"/>
              <w:right w:val="nil"/>
            </w:tcBorders>
            <w:shd w:val="clear" w:color="auto" w:fill="auto"/>
            <w:vAlign w:val="bottom"/>
            <w:hideMark/>
          </w:tcPr>
          <w:p w14:paraId="143E9440" w14:textId="6F88D6FF" w:rsidR="004B44D8" w:rsidRPr="004B44D8" w:rsidRDefault="00391340" w:rsidP="004B44D8">
            <w:pPr>
              <w:spacing w:after="0" w:line="240" w:lineRule="auto"/>
              <w:rPr>
                <w:rFonts w:ascii="Calibri" w:eastAsia="Times New Roman" w:hAnsi="Calibri" w:cs="Calibri"/>
                <w:b/>
                <w:bCs/>
                <w:color w:val="000000"/>
              </w:rPr>
            </w:pPr>
            <w:r>
              <w:rPr>
                <w:rFonts w:ascii="Calibri" w:eastAsia="Times New Roman" w:hAnsi="Calibri" w:cs="Calibri"/>
                <w:b/>
                <w:bCs/>
                <w:color w:val="000000"/>
              </w:rPr>
              <w:t xml:space="preserve">% </w:t>
            </w:r>
            <w:r w:rsidR="004B44D8" w:rsidRPr="004B44D8">
              <w:rPr>
                <w:rFonts w:ascii="Calibri" w:eastAsia="Times New Roman" w:hAnsi="Calibri" w:cs="Calibri"/>
                <w:b/>
                <w:bCs/>
                <w:color w:val="000000"/>
              </w:rPr>
              <w:t>MULTI - JURISDICTIONAL</w:t>
            </w:r>
          </w:p>
        </w:tc>
      </w:tr>
      <w:tr w:rsidR="00391340" w:rsidRPr="004B44D8" w14:paraId="31E4ADF8" w14:textId="77777777" w:rsidTr="00391340">
        <w:trPr>
          <w:trHeight w:val="300"/>
        </w:trPr>
        <w:tc>
          <w:tcPr>
            <w:tcW w:w="1980" w:type="dxa"/>
            <w:gridSpan w:val="2"/>
            <w:tcBorders>
              <w:top w:val="nil"/>
              <w:left w:val="nil"/>
              <w:bottom w:val="nil"/>
              <w:right w:val="nil"/>
            </w:tcBorders>
            <w:shd w:val="clear" w:color="auto" w:fill="auto"/>
            <w:noWrap/>
            <w:vAlign w:val="bottom"/>
            <w:hideMark/>
          </w:tcPr>
          <w:p w14:paraId="493E7DBA" w14:textId="77777777" w:rsidR="004B44D8" w:rsidRPr="004B44D8" w:rsidRDefault="004B44D8" w:rsidP="004B44D8">
            <w:pPr>
              <w:spacing w:after="0" w:line="240" w:lineRule="auto"/>
              <w:ind w:right="810"/>
              <w:rPr>
                <w:rFonts w:ascii="Calibri" w:eastAsia="Times New Roman" w:hAnsi="Calibri" w:cs="Calibri"/>
                <w:color w:val="000000"/>
              </w:rPr>
            </w:pPr>
            <w:r w:rsidRPr="004B44D8">
              <w:rPr>
                <w:rFonts w:ascii="Calibri" w:eastAsia="Times New Roman" w:hAnsi="Calibri" w:cs="Calibri"/>
                <w:color w:val="000000"/>
              </w:rPr>
              <w:t>Confirmed Etiology</w:t>
            </w:r>
          </w:p>
        </w:tc>
        <w:tc>
          <w:tcPr>
            <w:tcW w:w="1547" w:type="dxa"/>
            <w:gridSpan w:val="2"/>
            <w:tcBorders>
              <w:top w:val="nil"/>
              <w:left w:val="nil"/>
              <w:bottom w:val="nil"/>
              <w:right w:val="nil"/>
            </w:tcBorders>
            <w:shd w:val="clear" w:color="auto" w:fill="auto"/>
            <w:noWrap/>
            <w:vAlign w:val="bottom"/>
            <w:hideMark/>
          </w:tcPr>
          <w:p w14:paraId="7D6A35D0" w14:textId="77777777" w:rsidR="004B44D8" w:rsidRPr="004B44D8" w:rsidRDefault="004B44D8" w:rsidP="00391340">
            <w:pPr>
              <w:tabs>
                <w:tab w:val="left" w:pos="0"/>
                <w:tab w:val="left" w:pos="525"/>
              </w:tabs>
              <w:spacing w:after="0" w:line="240" w:lineRule="auto"/>
              <w:ind w:right="810"/>
              <w:jc w:val="right"/>
              <w:rPr>
                <w:rFonts w:ascii="Calibri" w:eastAsia="Times New Roman" w:hAnsi="Calibri" w:cs="Calibri"/>
                <w:color w:val="000000"/>
              </w:rPr>
            </w:pPr>
            <w:r w:rsidRPr="004B44D8">
              <w:rPr>
                <w:rFonts w:ascii="Calibri" w:eastAsia="Times New Roman" w:hAnsi="Calibri" w:cs="Calibri"/>
                <w:color w:val="000000"/>
              </w:rPr>
              <w:t>2454</w:t>
            </w:r>
          </w:p>
        </w:tc>
        <w:tc>
          <w:tcPr>
            <w:tcW w:w="1746" w:type="dxa"/>
            <w:gridSpan w:val="2"/>
            <w:tcBorders>
              <w:top w:val="nil"/>
              <w:left w:val="nil"/>
              <w:bottom w:val="nil"/>
              <w:right w:val="nil"/>
            </w:tcBorders>
            <w:shd w:val="clear" w:color="auto" w:fill="auto"/>
            <w:noWrap/>
            <w:vAlign w:val="bottom"/>
            <w:hideMark/>
          </w:tcPr>
          <w:p w14:paraId="6E9F6652" w14:textId="77777777" w:rsidR="004B44D8" w:rsidRPr="004B44D8" w:rsidRDefault="004B44D8" w:rsidP="00391340">
            <w:pPr>
              <w:spacing w:after="0" w:line="240" w:lineRule="auto"/>
              <w:ind w:right="810"/>
              <w:jc w:val="right"/>
              <w:rPr>
                <w:rFonts w:ascii="Calibri" w:eastAsia="Times New Roman" w:hAnsi="Calibri" w:cs="Calibri"/>
                <w:color w:val="000000"/>
              </w:rPr>
            </w:pPr>
            <w:r w:rsidRPr="004B44D8">
              <w:rPr>
                <w:rFonts w:ascii="Calibri" w:eastAsia="Times New Roman" w:hAnsi="Calibri" w:cs="Calibri"/>
                <w:color w:val="000000"/>
              </w:rPr>
              <w:t>154</w:t>
            </w:r>
          </w:p>
        </w:tc>
        <w:tc>
          <w:tcPr>
            <w:tcW w:w="1361" w:type="dxa"/>
            <w:gridSpan w:val="2"/>
            <w:tcBorders>
              <w:top w:val="nil"/>
              <w:left w:val="nil"/>
              <w:bottom w:val="nil"/>
              <w:right w:val="nil"/>
            </w:tcBorders>
            <w:shd w:val="clear" w:color="auto" w:fill="auto"/>
            <w:noWrap/>
            <w:vAlign w:val="bottom"/>
            <w:hideMark/>
          </w:tcPr>
          <w:p w14:paraId="74253812" w14:textId="77777777" w:rsidR="004B44D8" w:rsidRPr="004B44D8" w:rsidRDefault="004B44D8" w:rsidP="00391340">
            <w:pPr>
              <w:spacing w:after="0" w:line="240" w:lineRule="auto"/>
              <w:ind w:right="810"/>
              <w:jc w:val="right"/>
              <w:rPr>
                <w:rFonts w:ascii="Calibri" w:eastAsia="Times New Roman" w:hAnsi="Calibri" w:cs="Calibri"/>
                <w:color w:val="000000"/>
              </w:rPr>
            </w:pPr>
            <w:r w:rsidRPr="004B44D8">
              <w:rPr>
                <w:rFonts w:ascii="Calibri" w:eastAsia="Times New Roman" w:hAnsi="Calibri" w:cs="Calibri"/>
                <w:color w:val="000000"/>
              </w:rPr>
              <w:t>324</w:t>
            </w:r>
          </w:p>
        </w:tc>
        <w:tc>
          <w:tcPr>
            <w:tcW w:w="1608" w:type="dxa"/>
            <w:gridSpan w:val="2"/>
            <w:tcBorders>
              <w:top w:val="nil"/>
              <w:left w:val="nil"/>
              <w:bottom w:val="nil"/>
              <w:right w:val="nil"/>
            </w:tcBorders>
            <w:shd w:val="clear" w:color="auto" w:fill="auto"/>
            <w:noWrap/>
            <w:vAlign w:val="bottom"/>
            <w:hideMark/>
          </w:tcPr>
          <w:p w14:paraId="52E4F41D" w14:textId="77777777" w:rsidR="004B44D8" w:rsidRPr="004B44D8" w:rsidRDefault="004B44D8" w:rsidP="00391340">
            <w:pPr>
              <w:spacing w:after="0" w:line="240" w:lineRule="auto"/>
              <w:ind w:right="810"/>
              <w:jc w:val="right"/>
              <w:rPr>
                <w:rFonts w:ascii="Calibri" w:eastAsia="Times New Roman" w:hAnsi="Calibri" w:cs="Calibri"/>
                <w:color w:val="000000"/>
              </w:rPr>
            </w:pPr>
            <w:r w:rsidRPr="004B44D8">
              <w:rPr>
                <w:rFonts w:ascii="Calibri" w:eastAsia="Times New Roman" w:hAnsi="Calibri" w:cs="Calibri"/>
                <w:color w:val="000000"/>
              </w:rPr>
              <w:t>150</w:t>
            </w:r>
          </w:p>
        </w:tc>
        <w:tc>
          <w:tcPr>
            <w:tcW w:w="1916" w:type="dxa"/>
            <w:gridSpan w:val="3"/>
            <w:tcBorders>
              <w:top w:val="nil"/>
              <w:left w:val="nil"/>
              <w:bottom w:val="nil"/>
              <w:right w:val="nil"/>
            </w:tcBorders>
            <w:shd w:val="clear" w:color="auto" w:fill="auto"/>
            <w:noWrap/>
            <w:vAlign w:val="bottom"/>
            <w:hideMark/>
          </w:tcPr>
          <w:p w14:paraId="3475D3D4" w14:textId="77777777" w:rsidR="004B44D8" w:rsidRPr="004B44D8" w:rsidRDefault="004B44D8" w:rsidP="00391340">
            <w:pPr>
              <w:spacing w:after="0" w:line="240" w:lineRule="auto"/>
              <w:ind w:right="810"/>
              <w:jc w:val="right"/>
              <w:rPr>
                <w:rFonts w:ascii="Calibri" w:eastAsia="Times New Roman" w:hAnsi="Calibri" w:cs="Calibri"/>
                <w:color w:val="000000"/>
              </w:rPr>
            </w:pPr>
            <w:r w:rsidRPr="004B44D8">
              <w:rPr>
                <w:rFonts w:ascii="Calibri" w:eastAsia="Times New Roman" w:hAnsi="Calibri" w:cs="Calibri"/>
                <w:color w:val="000000"/>
              </w:rPr>
              <w:t>646</w:t>
            </w:r>
          </w:p>
        </w:tc>
        <w:tc>
          <w:tcPr>
            <w:tcW w:w="942" w:type="dxa"/>
            <w:tcBorders>
              <w:top w:val="nil"/>
              <w:left w:val="nil"/>
              <w:bottom w:val="nil"/>
              <w:right w:val="nil"/>
            </w:tcBorders>
            <w:shd w:val="clear" w:color="auto" w:fill="auto"/>
            <w:noWrap/>
            <w:vAlign w:val="bottom"/>
            <w:hideMark/>
          </w:tcPr>
          <w:p w14:paraId="274C36F2" w14:textId="6FACD72A" w:rsidR="004B44D8" w:rsidRPr="004B44D8" w:rsidRDefault="00391340" w:rsidP="00391340">
            <w:pPr>
              <w:spacing w:after="0" w:line="240" w:lineRule="auto"/>
              <w:jc w:val="right"/>
              <w:rPr>
                <w:rFonts w:ascii="Calibri" w:eastAsia="Times New Roman" w:hAnsi="Calibri" w:cs="Calibri"/>
                <w:color w:val="000000"/>
              </w:rPr>
            </w:pPr>
            <w:r>
              <w:rPr>
                <w:rFonts w:ascii="Calibri" w:eastAsia="Times New Roman" w:hAnsi="Calibri" w:cs="Calibri"/>
                <w:color w:val="000000"/>
              </w:rPr>
              <w:t xml:space="preserve">   </w:t>
            </w:r>
            <w:r w:rsidR="004B44D8" w:rsidRPr="004B44D8">
              <w:rPr>
                <w:rFonts w:ascii="Calibri" w:eastAsia="Times New Roman" w:hAnsi="Calibri" w:cs="Calibri"/>
                <w:color w:val="000000"/>
              </w:rPr>
              <w:t>52</w:t>
            </w:r>
            <w:r>
              <w:rPr>
                <w:rFonts w:ascii="Calibri" w:eastAsia="Times New Roman" w:hAnsi="Calibri" w:cs="Calibri"/>
                <w:color w:val="000000"/>
              </w:rPr>
              <w:t>%</w:t>
            </w:r>
          </w:p>
        </w:tc>
      </w:tr>
      <w:tr w:rsidR="004B44D8" w:rsidRPr="004B44D8" w14:paraId="75F979CE" w14:textId="77777777" w:rsidTr="00391340">
        <w:trPr>
          <w:trHeight w:val="300"/>
        </w:trPr>
        <w:tc>
          <w:tcPr>
            <w:tcW w:w="250" w:type="dxa"/>
            <w:tcBorders>
              <w:top w:val="nil"/>
              <w:left w:val="nil"/>
              <w:bottom w:val="nil"/>
              <w:right w:val="nil"/>
            </w:tcBorders>
            <w:shd w:val="clear" w:color="auto" w:fill="auto"/>
            <w:noWrap/>
            <w:vAlign w:val="bottom"/>
            <w:hideMark/>
          </w:tcPr>
          <w:p w14:paraId="2CF2C495" w14:textId="77777777" w:rsidR="004B44D8" w:rsidRPr="004B44D8" w:rsidRDefault="004B44D8" w:rsidP="004B44D8">
            <w:pPr>
              <w:spacing w:after="0" w:line="240" w:lineRule="auto"/>
              <w:jc w:val="right"/>
              <w:rPr>
                <w:rFonts w:ascii="Calibri" w:eastAsia="Times New Roman" w:hAnsi="Calibri" w:cs="Calibri"/>
                <w:color w:val="000000"/>
              </w:rPr>
            </w:pPr>
          </w:p>
        </w:tc>
        <w:tc>
          <w:tcPr>
            <w:tcW w:w="1730" w:type="dxa"/>
            <w:tcBorders>
              <w:top w:val="nil"/>
              <w:left w:val="nil"/>
              <w:bottom w:val="nil"/>
              <w:right w:val="nil"/>
            </w:tcBorders>
            <w:shd w:val="clear" w:color="auto" w:fill="auto"/>
            <w:noWrap/>
            <w:vAlign w:val="bottom"/>
            <w:hideMark/>
          </w:tcPr>
          <w:p w14:paraId="786C5886" w14:textId="77777777" w:rsidR="004B44D8" w:rsidRPr="004B44D8" w:rsidRDefault="004B44D8" w:rsidP="004B44D8">
            <w:pPr>
              <w:spacing w:after="0" w:line="240" w:lineRule="auto"/>
              <w:rPr>
                <w:rFonts w:ascii="Calibri" w:eastAsia="Times New Roman" w:hAnsi="Calibri" w:cs="Calibri"/>
                <w:color w:val="000000"/>
              </w:rPr>
            </w:pPr>
            <w:r w:rsidRPr="004B44D8">
              <w:rPr>
                <w:rFonts w:ascii="Calibri" w:eastAsia="Times New Roman" w:hAnsi="Calibri" w:cs="Calibri"/>
                <w:i/>
                <w:color w:val="000000"/>
              </w:rPr>
              <w:t>Escherichia coli</w:t>
            </w:r>
            <w:r w:rsidRPr="004B44D8">
              <w:rPr>
                <w:rFonts w:ascii="Calibri" w:eastAsia="Times New Roman" w:hAnsi="Calibri" w:cs="Calibri"/>
                <w:color w:val="000000"/>
              </w:rPr>
              <w:t xml:space="preserve"> O157:H7</w:t>
            </w:r>
          </w:p>
        </w:tc>
        <w:tc>
          <w:tcPr>
            <w:tcW w:w="1424" w:type="dxa"/>
            <w:tcBorders>
              <w:top w:val="nil"/>
              <w:left w:val="nil"/>
              <w:bottom w:val="nil"/>
              <w:right w:val="nil"/>
            </w:tcBorders>
            <w:shd w:val="clear" w:color="auto" w:fill="auto"/>
            <w:noWrap/>
            <w:vAlign w:val="bottom"/>
            <w:hideMark/>
          </w:tcPr>
          <w:p w14:paraId="6F8D090F"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100</w:t>
            </w:r>
          </w:p>
        </w:tc>
        <w:tc>
          <w:tcPr>
            <w:tcW w:w="1375" w:type="dxa"/>
            <w:gridSpan w:val="2"/>
            <w:tcBorders>
              <w:top w:val="nil"/>
              <w:left w:val="nil"/>
              <w:bottom w:val="nil"/>
              <w:right w:val="nil"/>
            </w:tcBorders>
            <w:shd w:val="clear" w:color="auto" w:fill="auto"/>
            <w:noWrap/>
            <w:vAlign w:val="bottom"/>
            <w:hideMark/>
          </w:tcPr>
          <w:p w14:paraId="10A1725F"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22</w:t>
            </w:r>
          </w:p>
        </w:tc>
        <w:tc>
          <w:tcPr>
            <w:tcW w:w="1375" w:type="dxa"/>
            <w:gridSpan w:val="2"/>
            <w:tcBorders>
              <w:top w:val="nil"/>
              <w:left w:val="nil"/>
              <w:bottom w:val="nil"/>
              <w:right w:val="nil"/>
            </w:tcBorders>
            <w:shd w:val="clear" w:color="auto" w:fill="auto"/>
            <w:noWrap/>
            <w:vAlign w:val="bottom"/>
            <w:hideMark/>
          </w:tcPr>
          <w:p w14:paraId="1CAD6BF9"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14</w:t>
            </w:r>
          </w:p>
        </w:tc>
        <w:tc>
          <w:tcPr>
            <w:tcW w:w="1635" w:type="dxa"/>
            <w:gridSpan w:val="2"/>
            <w:tcBorders>
              <w:top w:val="nil"/>
              <w:left w:val="nil"/>
              <w:bottom w:val="nil"/>
              <w:right w:val="nil"/>
            </w:tcBorders>
            <w:shd w:val="clear" w:color="auto" w:fill="auto"/>
            <w:noWrap/>
            <w:vAlign w:val="bottom"/>
            <w:hideMark/>
          </w:tcPr>
          <w:p w14:paraId="4413F18B"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23</w:t>
            </w:r>
          </w:p>
        </w:tc>
        <w:tc>
          <w:tcPr>
            <w:tcW w:w="1590" w:type="dxa"/>
            <w:gridSpan w:val="2"/>
            <w:tcBorders>
              <w:top w:val="nil"/>
              <w:left w:val="nil"/>
              <w:bottom w:val="nil"/>
              <w:right w:val="nil"/>
            </w:tcBorders>
            <w:shd w:val="clear" w:color="auto" w:fill="auto"/>
            <w:noWrap/>
            <w:vAlign w:val="bottom"/>
            <w:hideMark/>
          </w:tcPr>
          <w:p w14:paraId="4C264347"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26</w:t>
            </w:r>
          </w:p>
        </w:tc>
        <w:tc>
          <w:tcPr>
            <w:tcW w:w="1721" w:type="dxa"/>
            <w:gridSpan w:val="3"/>
            <w:tcBorders>
              <w:top w:val="nil"/>
              <w:left w:val="nil"/>
              <w:bottom w:val="nil"/>
              <w:right w:val="nil"/>
            </w:tcBorders>
            <w:shd w:val="clear" w:color="auto" w:fill="auto"/>
            <w:noWrap/>
            <w:vAlign w:val="bottom"/>
            <w:hideMark/>
          </w:tcPr>
          <w:p w14:paraId="72EFD634" w14:textId="54C76110"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85</w:t>
            </w:r>
            <w:r w:rsidR="00391340">
              <w:rPr>
                <w:rFonts w:ascii="Calibri" w:eastAsia="Times New Roman" w:hAnsi="Calibri" w:cs="Calibri"/>
                <w:color w:val="000000"/>
              </w:rPr>
              <w:t>%</w:t>
            </w:r>
          </w:p>
        </w:tc>
      </w:tr>
      <w:tr w:rsidR="004B44D8" w:rsidRPr="004B44D8" w14:paraId="4F0B377D" w14:textId="77777777" w:rsidTr="00391340">
        <w:trPr>
          <w:trHeight w:val="300"/>
        </w:trPr>
        <w:tc>
          <w:tcPr>
            <w:tcW w:w="250" w:type="dxa"/>
            <w:tcBorders>
              <w:top w:val="nil"/>
              <w:left w:val="nil"/>
              <w:bottom w:val="nil"/>
              <w:right w:val="nil"/>
            </w:tcBorders>
            <w:shd w:val="clear" w:color="auto" w:fill="auto"/>
            <w:noWrap/>
            <w:vAlign w:val="bottom"/>
            <w:hideMark/>
          </w:tcPr>
          <w:p w14:paraId="7EC2C9D8" w14:textId="77777777" w:rsidR="004B44D8" w:rsidRPr="004B44D8" w:rsidRDefault="004B44D8" w:rsidP="004B44D8">
            <w:pPr>
              <w:spacing w:after="0" w:line="240" w:lineRule="auto"/>
              <w:jc w:val="right"/>
              <w:rPr>
                <w:rFonts w:ascii="Calibri" w:eastAsia="Times New Roman" w:hAnsi="Calibri" w:cs="Calibri"/>
                <w:color w:val="000000"/>
              </w:rPr>
            </w:pPr>
          </w:p>
        </w:tc>
        <w:tc>
          <w:tcPr>
            <w:tcW w:w="1730" w:type="dxa"/>
            <w:tcBorders>
              <w:top w:val="nil"/>
              <w:left w:val="nil"/>
              <w:bottom w:val="nil"/>
              <w:right w:val="nil"/>
            </w:tcBorders>
            <w:shd w:val="clear" w:color="auto" w:fill="auto"/>
            <w:noWrap/>
            <w:vAlign w:val="bottom"/>
            <w:hideMark/>
          </w:tcPr>
          <w:p w14:paraId="11C666F9" w14:textId="77777777" w:rsidR="004B44D8" w:rsidRPr="004B44D8" w:rsidRDefault="004B44D8" w:rsidP="004B44D8">
            <w:pPr>
              <w:spacing w:after="0" w:line="240" w:lineRule="auto"/>
              <w:rPr>
                <w:rFonts w:ascii="Calibri" w:eastAsia="Times New Roman" w:hAnsi="Calibri" w:cs="Calibri"/>
                <w:i/>
                <w:color w:val="000000"/>
              </w:rPr>
            </w:pPr>
            <w:r w:rsidRPr="004B44D8">
              <w:rPr>
                <w:rFonts w:ascii="Calibri" w:eastAsia="Times New Roman" w:hAnsi="Calibri" w:cs="Calibri"/>
                <w:i/>
                <w:color w:val="000000"/>
              </w:rPr>
              <w:t>Salmonella</w:t>
            </w:r>
          </w:p>
        </w:tc>
        <w:tc>
          <w:tcPr>
            <w:tcW w:w="1424" w:type="dxa"/>
            <w:tcBorders>
              <w:top w:val="nil"/>
              <w:left w:val="nil"/>
              <w:bottom w:val="nil"/>
              <w:right w:val="nil"/>
            </w:tcBorders>
            <w:shd w:val="clear" w:color="auto" w:fill="auto"/>
            <w:noWrap/>
            <w:vAlign w:val="bottom"/>
            <w:hideMark/>
          </w:tcPr>
          <w:p w14:paraId="0369098B"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748</w:t>
            </w:r>
          </w:p>
        </w:tc>
        <w:tc>
          <w:tcPr>
            <w:tcW w:w="1375" w:type="dxa"/>
            <w:gridSpan w:val="2"/>
            <w:tcBorders>
              <w:top w:val="nil"/>
              <w:left w:val="nil"/>
              <w:bottom w:val="nil"/>
              <w:right w:val="nil"/>
            </w:tcBorders>
            <w:shd w:val="clear" w:color="auto" w:fill="auto"/>
            <w:noWrap/>
            <w:vAlign w:val="bottom"/>
            <w:hideMark/>
          </w:tcPr>
          <w:p w14:paraId="6F9FDDFA"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86</w:t>
            </w:r>
          </w:p>
        </w:tc>
        <w:tc>
          <w:tcPr>
            <w:tcW w:w="1375" w:type="dxa"/>
            <w:gridSpan w:val="2"/>
            <w:tcBorders>
              <w:top w:val="nil"/>
              <w:left w:val="nil"/>
              <w:bottom w:val="nil"/>
              <w:right w:val="nil"/>
            </w:tcBorders>
            <w:shd w:val="clear" w:color="auto" w:fill="auto"/>
            <w:noWrap/>
            <w:vAlign w:val="bottom"/>
            <w:hideMark/>
          </w:tcPr>
          <w:p w14:paraId="6313C0C5"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107</w:t>
            </w:r>
          </w:p>
        </w:tc>
        <w:tc>
          <w:tcPr>
            <w:tcW w:w="1635" w:type="dxa"/>
            <w:gridSpan w:val="2"/>
            <w:tcBorders>
              <w:top w:val="nil"/>
              <w:left w:val="nil"/>
              <w:bottom w:val="nil"/>
              <w:right w:val="nil"/>
            </w:tcBorders>
            <w:shd w:val="clear" w:color="auto" w:fill="auto"/>
            <w:noWrap/>
            <w:vAlign w:val="bottom"/>
            <w:hideMark/>
          </w:tcPr>
          <w:p w14:paraId="07D736A3"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74</w:t>
            </w:r>
          </w:p>
        </w:tc>
        <w:tc>
          <w:tcPr>
            <w:tcW w:w="1590" w:type="dxa"/>
            <w:gridSpan w:val="2"/>
            <w:tcBorders>
              <w:top w:val="nil"/>
              <w:left w:val="nil"/>
              <w:bottom w:val="nil"/>
              <w:right w:val="nil"/>
            </w:tcBorders>
            <w:shd w:val="clear" w:color="auto" w:fill="auto"/>
            <w:noWrap/>
            <w:vAlign w:val="bottom"/>
            <w:hideMark/>
          </w:tcPr>
          <w:p w14:paraId="6657C25C"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207</w:t>
            </w:r>
          </w:p>
        </w:tc>
        <w:tc>
          <w:tcPr>
            <w:tcW w:w="1721" w:type="dxa"/>
            <w:gridSpan w:val="3"/>
            <w:tcBorders>
              <w:top w:val="nil"/>
              <w:left w:val="nil"/>
              <w:bottom w:val="nil"/>
              <w:right w:val="nil"/>
            </w:tcBorders>
            <w:shd w:val="clear" w:color="auto" w:fill="auto"/>
            <w:noWrap/>
            <w:vAlign w:val="bottom"/>
            <w:hideMark/>
          </w:tcPr>
          <w:p w14:paraId="4FC837A3" w14:textId="7FE397EC"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63</w:t>
            </w:r>
            <w:r w:rsidR="00391340">
              <w:rPr>
                <w:rFonts w:ascii="Calibri" w:eastAsia="Times New Roman" w:hAnsi="Calibri" w:cs="Calibri"/>
                <w:color w:val="000000"/>
              </w:rPr>
              <w:t>%</w:t>
            </w:r>
          </w:p>
        </w:tc>
      </w:tr>
      <w:tr w:rsidR="004B44D8" w:rsidRPr="004B44D8" w14:paraId="4221F538" w14:textId="77777777" w:rsidTr="00391340">
        <w:trPr>
          <w:trHeight w:val="300"/>
        </w:trPr>
        <w:tc>
          <w:tcPr>
            <w:tcW w:w="250" w:type="dxa"/>
            <w:tcBorders>
              <w:top w:val="nil"/>
              <w:left w:val="nil"/>
              <w:bottom w:val="nil"/>
              <w:right w:val="nil"/>
            </w:tcBorders>
            <w:shd w:val="clear" w:color="auto" w:fill="auto"/>
            <w:noWrap/>
            <w:vAlign w:val="bottom"/>
            <w:hideMark/>
          </w:tcPr>
          <w:p w14:paraId="7C5C96FD" w14:textId="77777777" w:rsidR="004B44D8" w:rsidRPr="004B44D8" w:rsidRDefault="004B44D8" w:rsidP="004B44D8">
            <w:pPr>
              <w:spacing w:after="0" w:line="240" w:lineRule="auto"/>
              <w:jc w:val="right"/>
              <w:rPr>
                <w:rFonts w:ascii="Calibri" w:eastAsia="Times New Roman" w:hAnsi="Calibri" w:cs="Calibri"/>
                <w:color w:val="000000"/>
              </w:rPr>
            </w:pPr>
          </w:p>
        </w:tc>
        <w:tc>
          <w:tcPr>
            <w:tcW w:w="1730" w:type="dxa"/>
            <w:tcBorders>
              <w:top w:val="nil"/>
              <w:left w:val="nil"/>
              <w:bottom w:val="nil"/>
              <w:right w:val="nil"/>
            </w:tcBorders>
            <w:shd w:val="clear" w:color="auto" w:fill="auto"/>
            <w:noWrap/>
            <w:vAlign w:val="bottom"/>
            <w:hideMark/>
          </w:tcPr>
          <w:p w14:paraId="07196D49" w14:textId="77777777" w:rsidR="004B44D8" w:rsidRPr="004B44D8" w:rsidRDefault="004B44D8" w:rsidP="004B44D8">
            <w:pPr>
              <w:spacing w:after="0" w:line="240" w:lineRule="auto"/>
              <w:rPr>
                <w:rFonts w:ascii="Calibri" w:eastAsia="Times New Roman" w:hAnsi="Calibri" w:cs="Calibri"/>
                <w:i/>
                <w:color w:val="000000"/>
              </w:rPr>
            </w:pPr>
            <w:r w:rsidRPr="004B44D8">
              <w:rPr>
                <w:rFonts w:ascii="Calibri" w:eastAsia="Times New Roman" w:hAnsi="Calibri" w:cs="Calibri"/>
                <w:i/>
                <w:color w:val="000000"/>
              </w:rPr>
              <w:t>Clostridium perfringens</w:t>
            </w:r>
          </w:p>
        </w:tc>
        <w:tc>
          <w:tcPr>
            <w:tcW w:w="1424" w:type="dxa"/>
            <w:tcBorders>
              <w:top w:val="nil"/>
              <w:left w:val="nil"/>
              <w:bottom w:val="nil"/>
              <w:right w:val="nil"/>
            </w:tcBorders>
            <w:shd w:val="clear" w:color="auto" w:fill="auto"/>
            <w:noWrap/>
            <w:vAlign w:val="bottom"/>
            <w:hideMark/>
          </w:tcPr>
          <w:p w14:paraId="75824948"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89</w:t>
            </w:r>
          </w:p>
        </w:tc>
        <w:tc>
          <w:tcPr>
            <w:tcW w:w="1375" w:type="dxa"/>
            <w:gridSpan w:val="2"/>
            <w:tcBorders>
              <w:top w:val="nil"/>
              <w:left w:val="nil"/>
              <w:bottom w:val="nil"/>
              <w:right w:val="nil"/>
            </w:tcBorders>
            <w:shd w:val="clear" w:color="auto" w:fill="auto"/>
            <w:noWrap/>
            <w:vAlign w:val="bottom"/>
            <w:hideMark/>
          </w:tcPr>
          <w:p w14:paraId="22423F1A"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0</w:t>
            </w:r>
          </w:p>
        </w:tc>
        <w:tc>
          <w:tcPr>
            <w:tcW w:w="1375" w:type="dxa"/>
            <w:gridSpan w:val="2"/>
            <w:tcBorders>
              <w:top w:val="nil"/>
              <w:left w:val="nil"/>
              <w:bottom w:val="nil"/>
              <w:right w:val="nil"/>
            </w:tcBorders>
            <w:shd w:val="clear" w:color="auto" w:fill="auto"/>
            <w:noWrap/>
            <w:vAlign w:val="bottom"/>
            <w:hideMark/>
          </w:tcPr>
          <w:p w14:paraId="627B8A4E"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8</w:t>
            </w:r>
          </w:p>
        </w:tc>
        <w:tc>
          <w:tcPr>
            <w:tcW w:w="1635" w:type="dxa"/>
            <w:gridSpan w:val="2"/>
            <w:tcBorders>
              <w:top w:val="nil"/>
              <w:left w:val="nil"/>
              <w:bottom w:val="nil"/>
              <w:right w:val="nil"/>
            </w:tcBorders>
            <w:shd w:val="clear" w:color="auto" w:fill="auto"/>
            <w:noWrap/>
            <w:vAlign w:val="bottom"/>
            <w:hideMark/>
          </w:tcPr>
          <w:p w14:paraId="3875C594"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0</w:t>
            </w:r>
          </w:p>
        </w:tc>
        <w:tc>
          <w:tcPr>
            <w:tcW w:w="1590" w:type="dxa"/>
            <w:gridSpan w:val="2"/>
            <w:tcBorders>
              <w:top w:val="nil"/>
              <w:left w:val="nil"/>
              <w:bottom w:val="nil"/>
              <w:right w:val="nil"/>
            </w:tcBorders>
            <w:shd w:val="clear" w:color="auto" w:fill="auto"/>
            <w:noWrap/>
            <w:vAlign w:val="bottom"/>
            <w:hideMark/>
          </w:tcPr>
          <w:p w14:paraId="1929802E"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26</w:t>
            </w:r>
          </w:p>
        </w:tc>
        <w:tc>
          <w:tcPr>
            <w:tcW w:w="1721" w:type="dxa"/>
            <w:gridSpan w:val="3"/>
            <w:tcBorders>
              <w:top w:val="nil"/>
              <w:left w:val="nil"/>
              <w:bottom w:val="nil"/>
              <w:right w:val="nil"/>
            </w:tcBorders>
            <w:shd w:val="clear" w:color="auto" w:fill="auto"/>
            <w:noWrap/>
            <w:vAlign w:val="bottom"/>
            <w:hideMark/>
          </w:tcPr>
          <w:p w14:paraId="68272E23" w14:textId="59483544"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38</w:t>
            </w:r>
            <w:r w:rsidR="00391340">
              <w:rPr>
                <w:rFonts w:ascii="Calibri" w:eastAsia="Times New Roman" w:hAnsi="Calibri" w:cs="Calibri"/>
                <w:color w:val="000000"/>
              </w:rPr>
              <w:t>%</w:t>
            </w:r>
          </w:p>
        </w:tc>
      </w:tr>
      <w:tr w:rsidR="004B44D8" w:rsidRPr="004B44D8" w14:paraId="417F45BB" w14:textId="77777777" w:rsidTr="00391340">
        <w:trPr>
          <w:trHeight w:val="300"/>
        </w:trPr>
        <w:tc>
          <w:tcPr>
            <w:tcW w:w="250" w:type="dxa"/>
            <w:tcBorders>
              <w:top w:val="nil"/>
              <w:left w:val="nil"/>
              <w:bottom w:val="nil"/>
              <w:right w:val="nil"/>
            </w:tcBorders>
            <w:shd w:val="clear" w:color="auto" w:fill="auto"/>
            <w:noWrap/>
            <w:vAlign w:val="bottom"/>
            <w:hideMark/>
          </w:tcPr>
          <w:p w14:paraId="2BC92C87" w14:textId="77777777" w:rsidR="004B44D8" w:rsidRPr="004B44D8" w:rsidRDefault="004B44D8" w:rsidP="004B44D8">
            <w:pPr>
              <w:spacing w:after="0" w:line="240" w:lineRule="auto"/>
              <w:jc w:val="right"/>
              <w:rPr>
                <w:rFonts w:ascii="Calibri" w:eastAsia="Times New Roman" w:hAnsi="Calibri" w:cs="Calibri"/>
                <w:color w:val="000000"/>
              </w:rPr>
            </w:pPr>
          </w:p>
        </w:tc>
        <w:tc>
          <w:tcPr>
            <w:tcW w:w="1730" w:type="dxa"/>
            <w:tcBorders>
              <w:top w:val="nil"/>
              <w:left w:val="nil"/>
              <w:bottom w:val="nil"/>
              <w:right w:val="nil"/>
            </w:tcBorders>
            <w:shd w:val="clear" w:color="auto" w:fill="auto"/>
            <w:noWrap/>
            <w:vAlign w:val="bottom"/>
            <w:hideMark/>
          </w:tcPr>
          <w:p w14:paraId="5FBDFFF2" w14:textId="77777777" w:rsidR="004B44D8" w:rsidRPr="004B44D8" w:rsidRDefault="004B44D8" w:rsidP="004B44D8">
            <w:pPr>
              <w:spacing w:after="0" w:line="240" w:lineRule="auto"/>
              <w:rPr>
                <w:rFonts w:ascii="Calibri" w:eastAsia="Times New Roman" w:hAnsi="Calibri" w:cs="Calibri"/>
                <w:i/>
                <w:color w:val="000000"/>
              </w:rPr>
            </w:pPr>
            <w:r w:rsidRPr="004B44D8">
              <w:rPr>
                <w:rFonts w:ascii="Calibri" w:eastAsia="Times New Roman" w:hAnsi="Calibri" w:cs="Calibri"/>
                <w:i/>
                <w:color w:val="000000"/>
              </w:rPr>
              <w:t>Staphylococcus aureus</w:t>
            </w:r>
          </w:p>
        </w:tc>
        <w:tc>
          <w:tcPr>
            <w:tcW w:w="1424" w:type="dxa"/>
            <w:tcBorders>
              <w:top w:val="nil"/>
              <w:left w:val="nil"/>
              <w:bottom w:val="nil"/>
              <w:right w:val="nil"/>
            </w:tcBorders>
            <w:shd w:val="clear" w:color="auto" w:fill="auto"/>
            <w:noWrap/>
            <w:vAlign w:val="bottom"/>
            <w:hideMark/>
          </w:tcPr>
          <w:p w14:paraId="1710DD01"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30</w:t>
            </w:r>
          </w:p>
        </w:tc>
        <w:tc>
          <w:tcPr>
            <w:tcW w:w="1375" w:type="dxa"/>
            <w:gridSpan w:val="2"/>
            <w:tcBorders>
              <w:top w:val="nil"/>
              <w:left w:val="nil"/>
              <w:bottom w:val="nil"/>
              <w:right w:val="nil"/>
            </w:tcBorders>
            <w:shd w:val="clear" w:color="auto" w:fill="auto"/>
            <w:noWrap/>
            <w:vAlign w:val="bottom"/>
            <w:hideMark/>
          </w:tcPr>
          <w:p w14:paraId="7CFB2D07"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0</w:t>
            </w:r>
          </w:p>
        </w:tc>
        <w:tc>
          <w:tcPr>
            <w:tcW w:w="1375" w:type="dxa"/>
            <w:gridSpan w:val="2"/>
            <w:tcBorders>
              <w:top w:val="nil"/>
              <w:left w:val="nil"/>
              <w:bottom w:val="nil"/>
              <w:right w:val="nil"/>
            </w:tcBorders>
            <w:shd w:val="clear" w:color="auto" w:fill="auto"/>
            <w:noWrap/>
            <w:vAlign w:val="bottom"/>
            <w:hideMark/>
          </w:tcPr>
          <w:p w14:paraId="4AFB5230"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3</w:t>
            </w:r>
          </w:p>
        </w:tc>
        <w:tc>
          <w:tcPr>
            <w:tcW w:w="1635" w:type="dxa"/>
            <w:gridSpan w:val="2"/>
            <w:tcBorders>
              <w:top w:val="nil"/>
              <w:left w:val="nil"/>
              <w:bottom w:val="nil"/>
              <w:right w:val="nil"/>
            </w:tcBorders>
            <w:shd w:val="clear" w:color="auto" w:fill="auto"/>
            <w:noWrap/>
            <w:vAlign w:val="bottom"/>
            <w:hideMark/>
          </w:tcPr>
          <w:p w14:paraId="268CE3F7"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w:t>
            </w:r>
          </w:p>
        </w:tc>
        <w:tc>
          <w:tcPr>
            <w:tcW w:w="1590" w:type="dxa"/>
            <w:gridSpan w:val="2"/>
            <w:tcBorders>
              <w:top w:val="nil"/>
              <w:left w:val="nil"/>
              <w:bottom w:val="nil"/>
              <w:right w:val="nil"/>
            </w:tcBorders>
            <w:shd w:val="clear" w:color="auto" w:fill="auto"/>
            <w:noWrap/>
            <w:vAlign w:val="bottom"/>
            <w:hideMark/>
          </w:tcPr>
          <w:p w14:paraId="06123D1F"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6</w:t>
            </w:r>
          </w:p>
        </w:tc>
        <w:tc>
          <w:tcPr>
            <w:tcW w:w="1721" w:type="dxa"/>
            <w:gridSpan w:val="3"/>
            <w:tcBorders>
              <w:top w:val="nil"/>
              <w:left w:val="nil"/>
              <w:bottom w:val="nil"/>
              <w:right w:val="nil"/>
            </w:tcBorders>
            <w:shd w:val="clear" w:color="auto" w:fill="auto"/>
            <w:noWrap/>
            <w:vAlign w:val="bottom"/>
            <w:hideMark/>
          </w:tcPr>
          <w:p w14:paraId="04BF7F32" w14:textId="42304759"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33</w:t>
            </w:r>
            <w:r w:rsidR="00391340">
              <w:rPr>
                <w:rFonts w:ascii="Calibri" w:eastAsia="Times New Roman" w:hAnsi="Calibri" w:cs="Calibri"/>
                <w:color w:val="000000"/>
              </w:rPr>
              <w:t>%</w:t>
            </w:r>
          </w:p>
        </w:tc>
      </w:tr>
      <w:tr w:rsidR="004B44D8" w:rsidRPr="004B44D8" w14:paraId="09087D5B" w14:textId="77777777" w:rsidTr="00391340">
        <w:trPr>
          <w:trHeight w:val="300"/>
        </w:trPr>
        <w:tc>
          <w:tcPr>
            <w:tcW w:w="250" w:type="dxa"/>
            <w:tcBorders>
              <w:top w:val="nil"/>
              <w:left w:val="nil"/>
              <w:bottom w:val="nil"/>
              <w:right w:val="nil"/>
            </w:tcBorders>
            <w:shd w:val="clear" w:color="auto" w:fill="auto"/>
            <w:noWrap/>
            <w:vAlign w:val="bottom"/>
            <w:hideMark/>
          </w:tcPr>
          <w:p w14:paraId="4AA2E2FC" w14:textId="77777777" w:rsidR="004B44D8" w:rsidRPr="004B44D8" w:rsidRDefault="004B44D8" w:rsidP="004B44D8">
            <w:pPr>
              <w:spacing w:after="0" w:line="240" w:lineRule="auto"/>
              <w:jc w:val="right"/>
              <w:rPr>
                <w:rFonts w:ascii="Calibri" w:eastAsia="Times New Roman" w:hAnsi="Calibri" w:cs="Calibri"/>
                <w:color w:val="000000"/>
              </w:rPr>
            </w:pPr>
          </w:p>
        </w:tc>
        <w:tc>
          <w:tcPr>
            <w:tcW w:w="1730" w:type="dxa"/>
            <w:tcBorders>
              <w:top w:val="nil"/>
              <w:left w:val="nil"/>
              <w:bottom w:val="nil"/>
              <w:right w:val="nil"/>
            </w:tcBorders>
            <w:shd w:val="clear" w:color="auto" w:fill="auto"/>
            <w:noWrap/>
            <w:vAlign w:val="bottom"/>
            <w:hideMark/>
          </w:tcPr>
          <w:p w14:paraId="65EAC565" w14:textId="077CDA85" w:rsidR="004B44D8" w:rsidRPr="004B44D8" w:rsidRDefault="004B44D8" w:rsidP="004B44D8">
            <w:pPr>
              <w:spacing w:after="0" w:line="240" w:lineRule="auto"/>
              <w:rPr>
                <w:rFonts w:ascii="Calibri" w:eastAsia="Times New Roman" w:hAnsi="Calibri" w:cs="Calibri"/>
                <w:color w:val="000000"/>
              </w:rPr>
            </w:pPr>
            <w:r w:rsidRPr="004B44D8">
              <w:rPr>
                <w:rFonts w:ascii="Calibri" w:eastAsia="Times New Roman" w:hAnsi="Calibri" w:cs="Calibri"/>
                <w:color w:val="000000"/>
              </w:rPr>
              <w:t>Hepatitis A</w:t>
            </w:r>
            <w:r w:rsidR="003C768E">
              <w:rPr>
                <w:rFonts w:ascii="Calibri" w:eastAsia="Times New Roman" w:hAnsi="Calibri" w:cs="Calibri"/>
                <w:color w:val="000000"/>
              </w:rPr>
              <w:t xml:space="preserve"> virus</w:t>
            </w:r>
          </w:p>
        </w:tc>
        <w:tc>
          <w:tcPr>
            <w:tcW w:w="1424" w:type="dxa"/>
            <w:tcBorders>
              <w:top w:val="nil"/>
              <w:left w:val="nil"/>
              <w:bottom w:val="nil"/>
              <w:right w:val="nil"/>
            </w:tcBorders>
            <w:shd w:val="clear" w:color="auto" w:fill="auto"/>
            <w:noWrap/>
            <w:vAlign w:val="bottom"/>
            <w:hideMark/>
          </w:tcPr>
          <w:p w14:paraId="7AA3AA73"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12</w:t>
            </w:r>
          </w:p>
        </w:tc>
        <w:tc>
          <w:tcPr>
            <w:tcW w:w="1375" w:type="dxa"/>
            <w:gridSpan w:val="2"/>
            <w:tcBorders>
              <w:top w:val="nil"/>
              <w:left w:val="nil"/>
              <w:bottom w:val="nil"/>
              <w:right w:val="nil"/>
            </w:tcBorders>
            <w:shd w:val="clear" w:color="auto" w:fill="auto"/>
            <w:noWrap/>
            <w:vAlign w:val="bottom"/>
            <w:hideMark/>
          </w:tcPr>
          <w:p w14:paraId="73CEFA28"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w:t>
            </w:r>
          </w:p>
        </w:tc>
        <w:tc>
          <w:tcPr>
            <w:tcW w:w="1375" w:type="dxa"/>
            <w:gridSpan w:val="2"/>
            <w:tcBorders>
              <w:top w:val="nil"/>
              <w:left w:val="nil"/>
              <w:bottom w:val="nil"/>
              <w:right w:val="nil"/>
            </w:tcBorders>
            <w:shd w:val="clear" w:color="auto" w:fill="auto"/>
            <w:noWrap/>
            <w:vAlign w:val="bottom"/>
            <w:hideMark/>
          </w:tcPr>
          <w:p w14:paraId="665FBE73"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w:t>
            </w:r>
          </w:p>
        </w:tc>
        <w:tc>
          <w:tcPr>
            <w:tcW w:w="1635" w:type="dxa"/>
            <w:gridSpan w:val="2"/>
            <w:tcBorders>
              <w:top w:val="nil"/>
              <w:left w:val="nil"/>
              <w:bottom w:val="nil"/>
              <w:right w:val="nil"/>
            </w:tcBorders>
            <w:shd w:val="clear" w:color="auto" w:fill="auto"/>
            <w:noWrap/>
            <w:vAlign w:val="bottom"/>
            <w:hideMark/>
          </w:tcPr>
          <w:p w14:paraId="021A2D9A"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w:t>
            </w:r>
          </w:p>
        </w:tc>
        <w:tc>
          <w:tcPr>
            <w:tcW w:w="1590" w:type="dxa"/>
            <w:gridSpan w:val="2"/>
            <w:tcBorders>
              <w:top w:val="nil"/>
              <w:left w:val="nil"/>
              <w:bottom w:val="nil"/>
              <w:right w:val="nil"/>
            </w:tcBorders>
            <w:shd w:val="clear" w:color="auto" w:fill="auto"/>
            <w:noWrap/>
            <w:vAlign w:val="bottom"/>
            <w:hideMark/>
          </w:tcPr>
          <w:p w14:paraId="41542F08"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3</w:t>
            </w:r>
          </w:p>
        </w:tc>
        <w:tc>
          <w:tcPr>
            <w:tcW w:w="1721" w:type="dxa"/>
            <w:gridSpan w:val="3"/>
            <w:tcBorders>
              <w:top w:val="nil"/>
              <w:left w:val="nil"/>
              <w:bottom w:val="nil"/>
              <w:right w:val="nil"/>
            </w:tcBorders>
            <w:shd w:val="clear" w:color="auto" w:fill="auto"/>
            <w:noWrap/>
            <w:vAlign w:val="bottom"/>
            <w:hideMark/>
          </w:tcPr>
          <w:p w14:paraId="559D27B0" w14:textId="512DEC69"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75</w:t>
            </w:r>
            <w:r w:rsidR="00391340">
              <w:rPr>
                <w:rFonts w:ascii="Calibri" w:eastAsia="Times New Roman" w:hAnsi="Calibri" w:cs="Calibri"/>
                <w:color w:val="000000"/>
              </w:rPr>
              <w:t>%</w:t>
            </w:r>
          </w:p>
        </w:tc>
      </w:tr>
      <w:tr w:rsidR="004B44D8" w:rsidRPr="004B44D8" w14:paraId="7BE9B5B6" w14:textId="77777777" w:rsidTr="00391340">
        <w:trPr>
          <w:trHeight w:val="300"/>
        </w:trPr>
        <w:tc>
          <w:tcPr>
            <w:tcW w:w="250" w:type="dxa"/>
            <w:tcBorders>
              <w:top w:val="nil"/>
              <w:left w:val="nil"/>
              <w:bottom w:val="nil"/>
              <w:right w:val="nil"/>
            </w:tcBorders>
            <w:shd w:val="clear" w:color="auto" w:fill="auto"/>
            <w:noWrap/>
            <w:vAlign w:val="bottom"/>
            <w:hideMark/>
          </w:tcPr>
          <w:p w14:paraId="25BDCD8C" w14:textId="77777777" w:rsidR="004B44D8" w:rsidRPr="004B44D8" w:rsidRDefault="004B44D8" w:rsidP="004B44D8">
            <w:pPr>
              <w:spacing w:after="0" w:line="240" w:lineRule="auto"/>
              <w:jc w:val="right"/>
              <w:rPr>
                <w:rFonts w:ascii="Calibri" w:eastAsia="Times New Roman" w:hAnsi="Calibri" w:cs="Calibri"/>
                <w:color w:val="000000"/>
              </w:rPr>
            </w:pPr>
          </w:p>
        </w:tc>
        <w:tc>
          <w:tcPr>
            <w:tcW w:w="1730" w:type="dxa"/>
            <w:tcBorders>
              <w:top w:val="nil"/>
              <w:left w:val="nil"/>
              <w:bottom w:val="nil"/>
              <w:right w:val="nil"/>
            </w:tcBorders>
            <w:shd w:val="clear" w:color="auto" w:fill="auto"/>
            <w:noWrap/>
            <w:vAlign w:val="bottom"/>
            <w:hideMark/>
          </w:tcPr>
          <w:p w14:paraId="7D834441" w14:textId="77777777" w:rsidR="004B44D8" w:rsidRPr="004B44D8" w:rsidRDefault="004B44D8" w:rsidP="004B44D8">
            <w:pPr>
              <w:spacing w:after="0" w:line="240" w:lineRule="auto"/>
              <w:rPr>
                <w:rFonts w:ascii="Calibri" w:eastAsia="Times New Roman" w:hAnsi="Calibri" w:cs="Calibri"/>
                <w:color w:val="000000"/>
              </w:rPr>
            </w:pPr>
            <w:r w:rsidRPr="004B44D8">
              <w:rPr>
                <w:rFonts w:ascii="Calibri" w:eastAsia="Times New Roman" w:hAnsi="Calibri" w:cs="Calibri"/>
                <w:color w:val="000000"/>
              </w:rPr>
              <w:t>Norovirus</w:t>
            </w:r>
          </w:p>
        </w:tc>
        <w:tc>
          <w:tcPr>
            <w:tcW w:w="1424" w:type="dxa"/>
            <w:tcBorders>
              <w:top w:val="nil"/>
              <w:left w:val="nil"/>
              <w:bottom w:val="nil"/>
              <w:right w:val="nil"/>
            </w:tcBorders>
            <w:shd w:val="clear" w:color="auto" w:fill="auto"/>
            <w:noWrap/>
            <w:vAlign w:val="bottom"/>
            <w:hideMark/>
          </w:tcPr>
          <w:p w14:paraId="2FDE6DFF"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894</w:t>
            </w:r>
          </w:p>
        </w:tc>
        <w:tc>
          <w:tcPr>
            <w:tcW w:w="1375" w:type="dxa"/>
            <w:gridSpan w:val="2"/>
            <w:tcBorders>
              <w:top w:val="nil"/>
              <w:left w:val="nil"/>
              <w:bottom w:val="nil"/>
              <w:right w:val="nil"/>
            </w:tcBorders>
            <w:shd w:val="clear" w:color="auto" w:fill="auto"/>
            <w:noWrap/>
            <w:vAlign w:val="bottom"/>
            <w:hideMark/>
          </w:tcPr>
          <w:p w14:paraId="032E9733"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w:t>
            </w:r>
          </w:p>
        </w:tc>
        <w:tc>
          <w:tcPr>
            <w:tcW w:w="1375" w:type="dxa"/>
            <w:gridSpan w:val="2"/>
            <w:tcBorders>
              <w:top w:val="nil"/>
              <w:left w:val="nil"/>
              <w:bottom w:val="nil"/>
              <w:right w:val="nil"/>
            </w:tcBorders>
            <w:shd w:val="clear" w:color="auto" w:fill="auto"/>
            <w:noWrap/>
            <w:vAlign w:val="bottom"/>
            <w:hideMark/>
          </w:tcPr>
          <w:p w14:paraId="2D6B1E8D"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127</w:t>
            </w:r>
          </w:p>
        </w:tc>
        <w:tc>
          <w:tcPr>
            <w:tcW w:w="1635" w:type="dxa"/>
            <w:gridSpan w:val="2"/>
            <w:tcBorders>
              <w:top w:val="nil"/>
              <w:left w:val="nil"/>
              <w:bottom w:val="nil"/>
              <w:right w:val="nil"/>
            </w:tcBorders>
            <w:shd w:val="clear" w:color="auto" w:fill="auto"/>
            <w:noWrap/>
            <w:vAlign w:val="bottom"/>
            <w:hideMark/>
          </w:tcPr>
          <w:p w14:paraId="017FC259"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14</w:t>
            </w:r>
          </w:p>
        </w:tc>
        <w:tc>
          <w:tcPr>
            <w:tcW w:w="1590" w:type="dxa"/>
            <w:gridSpan w:val="2"/>
            <w:tcBorders>
              <w:top w:val="nil"/>
              <w:left w:val="nil"/>
              <w:bottom w:val="nil"/>
              <w:right w:val="nil"/>
            </w:tcBorders>
            <w:shd w:val="clear" w:color="auto" w:fill="auto"/>
            <w:noWrap/>
            <w:vAlign w:val="bottom"/>
            <w:hideMark/>
          </w:tcPr>
          <w:p w14:paraId="1D4F8083"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274</w:t>
            </w:r>
          </w:p>
        </w:tc>
        <w:tc>
          <w:tcPr>
            <w:tcW w:w="1721" w:type="dxa"/>
            <w:gridSpan w:val="3"/>
            <w:tcBorders>
              <w:top w:val="nil"/>
              <w:left w:val="nil"/>
              <w:bottom w:val="nil"/>
              <w:right w:val="nil"/>
            </w:tcBorders>
            <w:shd w:val="clear" w:color="auto" w:fill="auto"/>
            <w:noWrap/>
            <w:vAlign w:val="bottom"/>
            <w:hideMark/>
          </w:tcPr>
          <w:p w14:paraId="0E01F391" w14:textId="69D35222"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47</w:t>
            </w:r>
            <w:r w:rsidR="00391340">
              <w:rPr>
                <w:rFonts w:ascii="Calibri" w:eastAsia="Times New Roman" w:hAnsi="Calibri" w:cs="Calibri"/>
                <w:color w:val="000000"/>
              </w:rPr>
              <w:t>%</w:t>
            </w:r>
          </w:p>
        </w:tc>
      </w:tr>
      <w:tr w:rsidR="004B44D8" w:rsidRPr="004B44D8" w14:paraId="7A3044BE" w14:textId="77777777" w:rsidTr="00391340">
        <w:trPr>
          <w:trHeight w:val="300"/>
        </w:trPr>
        <w:tc>
          <w:tcPr>
            <w:tcW w:w="250" w:type="dxa"/>
            <w:tcBorders>
              <w:top w:val="nil"/>
              <w:left w:val="nil"/>
              <w:bottom w:val="nil"/>
              <w:right w:val="nil"/>
            </w:tcBorders>
            <w:shd w:val="clear" w:color="auto" w:fill="auto"/>
            <w:noWrap/>
            <w:vAlign w:val="bottom"/>
            <w:hideMark/>
          </w:tcPr>
          <w:p w14:paraId="4FECF9DF" w14:textId="77777777" w:rsidR="004B44D8" w:rsidRPr="004B44D8" w:rsidRDefault="004B44D8" w:rsidP="004B44D8">
            <w:pPr>
              <w:spacing w:after="0" w:line="240" w:lineRule="auto"/>
              <w:jc w:val="right"/>
              <w:rPr>
                <w:rFonts w:ascii="Calibri" w:eastAsia="Times New Roman" w:hAnsi="Calibri" w:cs="Calibri"/>
                <w:color w:val="000000"/>
              </w:rPr>
            </w:pPr>
          </w:p>
        </w:tc>
        <w:tc>
          <w:tcPr>
            <w:tcW w:w="1730" w:type="dxa"/>
            <w:tcBorders>
              <w:top w:val="nil"/>
              <w:left w:val="nil"/>
              <w:bottom w:val="nil"/>
              <w:right w:val="nil"/>
            </w:tcBorders>
            <w:shd w:val="clear" w:color="auto" w:fill="auto"/>
            <w:noWrap/>
            <w:vAlign w:val="bottom"/>
            <w:hideMark/>
          </w:tcPr>
          <w:p w14:paraId="513AADB6" w14:textId="77777777" w:rsidR="004B44D8" w:rsidRPr="004B44D8" w:rsidRDefault="004B44D8" w:rsidP="004B44D8">
            <w:pPr>
              <w:spacing w:after="0" w:line="240" w:lineRule="auto"/>
              <w:rPr>
                <w:rFonts w:ascii="Calibri" w:eastAsia="Times New Roman" w:hAnsi="Calibri" w:cs="Calibri"/>
                <w:color w:val="000000"/>
              </w:rPr>
            </w:pPr>
            <w:r w:rsidRPr="004B44D8">
              <w:rPr>
                <w:rFonts w:ascii="Calibri" w:eastAsia="Times New Roman" w:hAnsi="Calibri" w:cs="Calibri"/>
                <w:color w:val="000000"/>
              </w:rPr>
              <w:t>Other</w:t>
            </w:r>
          </w:p>
        </w:tc>
        <w:tc>
          <w:tcPr>
            <w:tcW w:w="1424" w:type="dxa"/>
            <w:tcBorders>
              <w:top w:val="nil"/>
              <w:left w:val="nil"/>
              <w:bottom w:val="nil"/>
              <w:right w:val="nil"/>
            </w:tcBorders>
            <w:shd w:val="clear" w:color="auto" w:fill="auto"/>
            <w:noWrap/>
            <w:vAlign w:val="bottom"/>
            <w:hideMark/>
          </w:tcPr>
          <w:p w14:paraId="532706D1"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581</w:t>
            </w:r>
          </w:p>
        </w:tc>
        <w:tc>
          <w:tcPr>
            <w:tcW w:w="1375" w:type="dxa"/>
            <w:gridSpan w:val="2"/>
            <w:tcBorders>
              <w:top w:val="nil"/>
              <w:left w:val="nil"/>
              <w:bottom w:val="nil"/>
              <w:right w:val="nil"/>
            </w:tcBorders>
            <w:shd w:val="clear" w:color="auto" w:fill="auto"/>
            <w:noWrap/>
            <w:vAlign w:val="bottom"/>
            <w:hideMark/>
          </w:tcPr>
          <w:p w14:paraId="1B3D68C1"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42</w:t>
            </w:r>
          </w:p>
        </w:tc>
        <w:tc>
          <w:tcPr>
            <w:tcW w:w="1375" w:type="dxa"/>
            <w:gridSpan w:val="2"/>
            <w:tcBorders>
              <w:top w:val="nil"/>
              <w:left w:val="nil"/>
              <w:bottom w:val="nil"/>
              <w:right w:val="nil"/>
            </w:tcBorders>
            <w:shd w:val="clear" w:color="auto" w:fill="auto"/>
            <w:noWrap/>
            <w:vAlign w:val="bottom"/>
            <w:hideMark/>
          </w:tcPr>
          <w:p w14:paraId="1DE86C03"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63</w:t>
            </w:r>
          </w:p>
        </w:tc>
        <w:tc>
          <w:tcPr>
            <w:tcW w:w="1635" w:type="dxa"/>
            <w:gridSpan w:val="2"/>
            <w:tcBorders>
              <w:top w:val="nil"/>
              <w:left w:val="nil"/>
              <w:bottom w:val="nil"/>
              <w:right w:val="nil"/>
            </w:tcBorders>
            <w:shd w:val="clear" w:color="auto" w:fill="auto"/>
            <w:noWrap/>
            <w:vAlign w:val="bottom"/>
            <w:hideMark/>
          </w:tcPr>
          <w:p w14:paraId="788475E5"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36</w:t>
            </w:r>
          </w:p>
        </w:tc>
        <w:tc>
          <w:tcPr>
            <w:tcW w:w="1590" w:type="dxa"/>
            <w:gridSpan w:val="2"/>
            <w:tcBorders>
              <w:top w:val="nil"/>
              <w:left w:val="nil"/>
              <w:bottom w:val="nil"/>
              <w:right w:val="nil"/>
            </w:tcBorders>
            <w:shd w:val="clear" w:color="auto" w:fill="auto"/>
            <w:noWrap/>
            <w:vAlign w:val="bottom"/>
            <w:hideMark/>
          </w:tcPr>
          <w:p w14:paraId="0CABC4FC"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104</w:t>
            </w:r>
          </w:p>
        </w:tc>
        <w:tc>
          <w:tcPr>
            <w:tcW w:w="1721" w:type="dxa"/>
            <w:gridSpan w:val="3"/>
            <w:tcBorders>
              <w:top w:val="nil"/>
              <w:left w:val="nil"/>
              <w:bottom w:val="nil"/>
              <w:right w:val="nil"/>
            </w:tcBorders>
            <w:shd w:val="clear" w:color="auto" w:fill="auto"/>
            <w:noWrap/>
            <w:vAlign w:val="bottom"/>
            <w:hideMark/>
          </w:tcPr>
          <w:p w14:paraId="34B0B583" w14:textId="6B02C1F5"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42</w:t>
            </w:r>
            <w:r w:rsidR="00391340">
              <w:rPr>
                <w:rFonts w:ascii="Calibri" w:eastAsia="Times New Roman" w:hAnsi="Calibri" w:cs="Calibri"/>
                <w:color w:val="000000"/>
              </w:rPr>
              <w:t>%</w:t>
            </w:r>
          </w:p>
        </w:tc>
      </w:tr>
      <w:tr w:rsidR="004B44D8" w:rsidRPr="004B44D8" w14:paraId="58F7F951" w14:textId="77777777" w:rsidTr="00391340">
        <w:trPr>
          <w:trHeight w:val="300"/>
        </w:trPr>
        <w:tc>
          <w:tcPr>
            <w:tcW w:w="1980" w:type="dxa"/>
            <w:gridSpan w:val="2"/>
            <w:tcBorders>
              <w:top w:val="nil"/>
              <w:left w:val="nil"/>
              <w:bottom w:val="nil"/>
              <w:right w:val="nil"/>
            </w:tcBorders>
            <w:shd w:val="clear" w:color="auto" w:fill="auto"/>
            <w:noWrap/>
            <w:vAlign w:val="bottom"/>
            <w:hideMark/>
          </w:tcPr>
          <w:p w14:paraId="28CA2B48" w14:textId="77777777" w:rsidR="004B44D8" w:rsidRPr="004B44D8" w:rsidRDefault="004B44D8" w:rsidP="004B44D8">
            <w:pPr>
              <w:spacing w:after="0" w:line="240" w:lineRule="auto"/>
              <w:rPr>
                <w:rFonts w:ascii="Calibri" w:eastAsia="Times New Roman" w:hAnsi="Calibri" w:cs="Calibri"/>
                <w:color w:val="000000"/>
              </w:rPr>
            </w:pPr>
            <w:r w:rsidRPr="004B44D8">
              <w:rPr>
                <w:rFonts w:ascii="Calibri" w:eastAsia="Times New Roman" w:hAnsi="Calibri" w:cs="Calibri"/>
                <w:color w:val="000000"/>
              </w:rPr>
              <w:t>Suspected Etiology</w:t>
            </w:r>
          </w:p>
        </w:tc>
        <w:tc>
          <w:tcPr>
            <w:tcW w:w="1424" w:type="dxa"/>
            <w:tcBorders>
              <w:top w:val="nil"/>
              <w:left w:val="nil"/>
              <w:bottom w:val="nil"/>
              <w:right w:val="nil"/>
            </w:tcBorders>
            <w:shd w:val="clear" w:color="auto" w:fill="auto"/>
            <w:noWrap/>
            <w:vAlign w:val="bottom"/>
            <w:hideMark/>
          </w:tcPr>
          <w:p w14:paraId="6EEB1F2D"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1153</w:t>
            </w:r>
          </w:p>
        </w:tc>
        <w:tc>
          <w:tcPr>
            <w:tcW w:w="1375" w:type="dxa"/>
            <w:gridSpan w:val="2"/>
            <w:tcBorders>
              <w:top w:val="nil"/>
              <w:left w:val="nil"/>
              <w:bottom w:val="nil"/>
              <w:right w:val="nil"/>
            </w:tcBorders>
            <w:shd w:val="clear" w:color="auto" w:fill="auto"/>
            <w:noWrap/>
            <w:vAlign w:val="bottom"/>
            <w:hideMark/>
          </w:tcPr>
          <w:p w14:paraId="4D180020"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5</w:t>
            </w:r>
          </w:p>
        </w:tc>
        <w:tc>
          <w:tcPr>
            <w:tcW w:w="1375" w:type="dxa"/>
            <w:gridSpan w:val="2"/>
            <w:tcBorders>
              <w:top w:val="nil"/>
              <w:left w:val="nil"/>
              <w:bottom w:val="nil"/>
              <w:right w:val="nil"/>
            </w:tcBorders>
            <w:shd w:val="clear" w:color="auto" w:fill="auto"/>
            <w:noWrap/>
            <w:vAlign w:val="bottom"/>
            <w:hideMark/>
          </w:tcPr>
          <w:p w14:paraId="2CC9B25A"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120</w:t>
            </w:r>
          </w:p>
        </w:tc>
        <w:tc>
          <w:tcPr>
            <w:tcW w:w="1635" w:type="dxa"/>
            <w:gridSpan w:val="2"/>
            <w:tcBorders>
              <w:top w:val="nil"/>
              <w:left w:val="nil"/>
              <w:bottom w:val="nil"/>
              <w:right w:val="nil"/>
            </w:tcBorders>
            <w:shd w:val="clear" w:color="auto" w:fill="auto"/>
            <w:noWrap/>
            <w:vAlign w:val="bottom"/>
            <w:hideMark/>
          </w:tcPr>
          <w:p w14:paraId="50CC01A8"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8</w:t>
            </w:r>
          </w:p>
        </w:tc>
        <w:tc>
          <w:tcPr>
            <w:tcW w:w="1590" w:type="dxa"/>
            <w:gridSpan w:val="2"/>
            <w:tcBorders>
              <w:top w:val="nil"/>
              <w:left w:val="nil"/>
              <w:bottom w:val="nil"/>
              <w:right w:val="nil"/>
            </w:tcBorders>
            <w:shd w:val="clear" w:color="auto" w:fill="auto"/>
            <w:noWrap/>
            <w:vAlign w:val="bottom"/>
            <w:hideMark/>
          </w:tcPr>
          <w:p w14:paraId="3D687781"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153</w:t>
            </w:r>
          </w:p>
        </w:tc>
        <w:tc>
          <w:tcPr>
            <w:tcW w:w="1721" w:type="dxa"/>
            <w:gridSpan w:val="3"/>
            <w:tcBorders>
              <w:top w:val="nil"/>
              <w:left w:val="nil"/>
              <w:bottom w:val="nil"/>
              <w:right w:val="nil"/>
            </w:tcBorders>
            <w:shd w:val="clear" w:color="auto" w:fill="auto"/>
            <w:noWrap/>
            <w:vAlign w:val="bottom"/>
            <w:hideMark/>
          </w:tcPr>
          <w:p w14:paraId="6BBD51CC" w14:textId="63D7CB83"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25</w:t>
            </w:r>
            <w:r w:rsidR="00391340">
              <w:rPr>
                <w:rFonts w:ascii="Calibri" w:eastAsia="Times New Roman" w:hAnsi="Calibri" w:cs="Calibri"/>
                <w:color w:val="000000"/>
              </w:rPr>
              <w:t>%</w:t>
            </w:r>
          </w:p>
        </w:tc>
      </w:tr>
      <w:tr w:rsidR="004B44D8" w:rsidRPr="004B44D8" w14:paraId="4245B2D5" w14:textId="77777777" w:rsidTr="00391340">
        <w:trPr>
          <w:trHeight w:val="300"/>
        </w:trPr>
        <w:tc>
          <w:tcPr>
            <w:tcW w:w="1980" w:type="dxa"/>
            <w:gridSpan w:val="2"/>
            <w:tcBorders>
              <w:top w:val="nil"/>
              <w:left w:val="nil"/>
              <w:bottom w:val="nil"/>
              <w:right w:val="nil"/>
            </w:tcBorders>
            <w:shd w:val="clear" w:color="auto" w:fill="auto"/>
            <w:noWrap/>
            <w:vAlign w:val="bottom"/>
            <w:hideMark/>
          </w:tcPr>
          <w:p w14:paraId="3C247C28" w14:textId="77777777" w:rsidR="004B44D8" w:rsidRPr="004B44D8" w:rsidRDefault="004B44D8" w:rsidP="004B44D8">
            <w:pPr>
              <w:spacing w:after="0" w:line="240" w:lineRule="auto"/>
              <w:rPr>
                <w:rFonts w:ascii="Calibri" w:eastAsia="Times New Roman" w:hAnsi="Calibri" w:cs="Calibri"/>
                <w:color w:val="000000"/>
              </w:rPr>
            </w:pPr>
            <w:r w:rsidRPr="004B44D8">
              <w:rPr>
                <w:rFonts w:ascii="Calibri" w:eastAsia="Times New Roman" w:hAnsi="Calibri" w:cs="Calibri"/>
                <w:color w:val="000000"/>
              </w:rPr>
              <w:t>Unknown Etiology</w:t>
            </w:r>
          </w:p>
        </w:tc>
        <w:tc>
          <w:tcPr>
            <w:tcW w:w="1424" w:type="dxa"/>
            <w:tcBorders>
              <w:top w:val="nil"/>
              <w:left w:val="nil"/>
              <w:bottom w:val="nil"/>
              <w:right w:val="nil"/>
            </w:tcBorders>
            <w:shd w:val="clear" w:color="auto" w:fill="auto"/>
            <w:noWrap/>
            <w:vAlign w:val="bottom"/>
            <w:hideMark/>
          </w:tcPr>
          <w:p w14:paraId="5EBBDB4D"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1292</w:t>
            </w:r>
          </w:p>
        </w:tc>
        <w:tc>
          <w:tcPr>
            <w:tcW w:w="1375" w:type="dxa"/>
            <w:gridSpan w:val="2"/>
            <w:tcBorders>
              <w:top w:val="nil"/>
              <w:left w:val="nil"/>
              <w:bottom w:val="nil"/>
              <w:right w:val="nil"/>
            </w:tcBorders>
            <w:shd w:val="clear" w:color="auto" w:fill="auto"/>
            <w:noWrap/>
            <w:vAlign w:val="bottom"/>
            <w:hideMark/>
          </w:tcPr>
          <w:p w14:paraId="67D911D4"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w:t>
            </w:r>
          </w:p>
        </w:tc>
        <w:tc>
          <w:tcPr>
            <w:tcW w:w="1375" w:type="dxa"/>
            <w:gridSpan w:val="2"/>
            <w:tcBorders>
              <w:top w:val="nil"/>
              <w:left w:val="nil"/>
              <w:bottom w:val="nil"/>
              <w:right w:val="nil"/>
            </w:tcBorders>
            <w:shd w:val="clear" w:color="auto" w:fill="auto"/>
            <w:noWrap/>
            <w:vAlign w:val="bottom"/>
            <w:hideMark/>
          </w:tcPr>
          <w:p w14:paraId="0D8DF1B2"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118</w:t>
            </w:r>
          </w:p>
        </w:tc>
        <w:tc>
          <w:tcPr>
            <w:tcW w:w="1635" w:type="dxa"/>
            <w:gridSpan w:val="2"/>
            <w:tcBorders>
              <w:top w:val="nil"/>
              <w:left w:val="nil"/>
              <w:bottom w:val="nil"/>
              <w:right w:val="nil"/>
            </w:tcBorders>
            <w:shd w:val="clear" w:color="auto" w:fill="auto"/>
            <w:noWrap/>
            <w:vAlign w:val="bottom"/>
            <w:hideMark/>
          </w:tcPr>
          <w:p w14:paraId="197E00EC"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14</w:t>
            </w:r>
          </w:p>
        </w:tc>
        <w:tc>
          <w:tcPr>
            <w:tcW w:w="1590" w:type="dxa"/>
            <w:gridSpan w:val="2"/>
            <w:tcBorders>
              <w:top w:val="nil"/>
              <w:left w:val="nil"/>
              <w:bottom w:val="nil"/>
              <w:right w:val="nil"/>
            </w:tcBorders>
            <w:shd w:val="clear" w:color="auto" w:fill="auto"/>
            <w:noWrap/>
            <w:vAlign w:val="bottom"/>
            <w:hideMark/>
          </w:tcPr>
          <w:p w14:paraId="11F62D9C"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165</w:t>
            </w:r>
          </w:p>
        </w:tc>
        <w:tc>
          <w:tcPr>
            <w:tcW w:w="1721" w:type="dxa"/>
            <w:gridSpan w:val="3"/>
            <w:tcBorders>
              <w:top w:val="nil"/>
              <w:left w:val="nil"/>
              <w:bottom w:val="nil"/>
              <w:right w:val="nil"/>
            </w:tcBorders>
            <w:shd w:val="clear" w:color="auto" w:fill="auto"/>
            <w:noWrap/>
            <w:vAlign w:val="bottom"/>
            <w:hideMark/>
          </w:tcPr>
          <w:p w14:paraId="2C408547" w14:textId="68A75600"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23</w:t>
            </w:r>
            <w:r w:rsidR="00391340">
              <w:rPr>
                <w:rFonts w:ascii="Calibri" w:eastAsia="Times New Roman" w:hAnsi="Calibri" w:cs="Calibri"/>
                <w:color w:val="000000"/>
              </w:rPr>
              <w:t>%</w:t>
            </w:r>
          </w:p>
        </w:tc>
      </w:tr>
      <w:tr w:rsidR="004B44D8" w:rsidRPr="004B44D8" w14:paraId="2E9C38AF" w14:textId="77777777" w:rsidTr="00391340">
        <w:trPr>
          <w:trHeight w:val="300"/>
        </w:trPr>
        <w:tc>
          <w:tcPr>
            <w:tcW w:w="1980" w:type="dxa"/>
            <w:gridSpan w:val="2"/>
            <w:tcBorders>
              <w:top w:val="nil"/>
              <w:left w:val="nil"/>
              <w:bottom w:val="nil"/>
              <w:right w:val="nil"/>
            </w:tcBorders>
            <w:shd w:val="clear" w:color="auto" w:fill="auto"/>
            <w:noWrap/>
            <w:vAlign w:val="bottom"/>
            <w:hideMark/>
          </w:tcPr>
          <w:p w14:paraId="06EA7E82" w14:textId="77777777" w:rsidR="004B44D8" w:rsidRPr="004B44D8" w:rsidRDefault="004B44D8" w:rsidP="004B44D8">
            <w:pPr>
              <w:spacing w:after="0" w:line="240" w:lineRule="auto"/>
              <w:rPr>
                <w:rFonts w:ascii="Calibri" w:eastAsia="Times New Roman" w:hAnsi="Calibri" w:cs="Calibri"/>
                <w:color w:val="000000"/>
              </w:rPr>
            </w:pPr>
            <w:r w:rsidRPr="004B44D8">
              <w:rPr>
                <w:rFonts w:ascii="Calibri" w:eastAsia="Times New Roman" w:hAnsi="Calibri" w:cs="Calibri"/>
                <w:color w:val="000000"/>
              </w:rPr>
              <w:t>Multiple Etiologies</w:t>
            </w:r>
          </w:p>
        </w:tc>
        <w:tc>
          <w:tcPr>
            <w:tcW w:w="1424" w:type="dxa"/>
            <w:tcBorders>
              <w:top w:val="nil"/>
              <w:left w:val="nil"/>
              <w:bottom w:val="nil"/>
              <w:right w:val="nil"/>
            </w:tcBorders>
            <w:shd w:val="clear" w:color="auto" w:fill="auto"/>
            <w:noWrap/>
            <w:vAlign w:val="bottom"/>
            <w:hideMark/>
          </w:tcPr>
          <w:p w14:paraId="6D03EEA1"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430</w:t>
            </w:r>
          </w:p>
        </w:tc>
        <w:tc>
          <w:tcPr>
            <w:tcW w:w="1375" w:type="dxa"/>
            <w:gridSpan w:val="2"/>
            <w:tcBorders>
              <w:top w:val="nil"/>
              <w:left w:val="nil"/>
              <w:bottom w:val="nil"/>
              <w:right w:val="nil"/>
            </w:tcBorders>
            <w:shd w:val="clear" w:color="auto" w:fill="auto"/>
            <w:noWrap/>
            <w:vAlign w:val="bottom"/>
            <w:hideMark/>
          </w:tcPr>
          <w:p w14:paraId="4AE6998A"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23</w:t>
            </w:r>
          </w:p>
        </w:tc>
        <w:tc>
          <w:tcPr>
            <w:tcW w:w="1375" w:type="dxa"/>
            <w:gridSpan w:val="2"/>
            <w:tcBorders>
              <w:top w:val="nil"/>
              <w:left w:val="nil"/>
              <w:bottom w:val="nil"/>
              <w:right w:val="nil"/>
            </w:tcBorders>
            <w:shd w:val="clear" w:color="auto" w:fill="auto"/>
            <w:noWrap/>
            <w:vAlign w:val="bottom"/>
            <w:hideMark/>
          </w:tcPr>
          <w:p w14:paraId="0B9D1123"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81</w:t>
            </w:r>
          </w:p>
        </w:tc>
        <w:tc>
          <w:tcPr>
            <w:tcW w:w="1635" w:type="dxa"/>
            <w:gridSpan w:val="2"/>
            <w:tcBorders>
              <w:top w:val="nil"/>
              <w:left w:val="nil"/>
              <w:bottom w:val="nil"/>
              <w:right w:val="nil"/>
            </w:tcBorders>
            <w:shd w:val="clear" w:color="auto" w:fill="auto"/>
            <w:noWrap/>
            <w:vAlign w:val="bottom"/>
            <w:hideMark/>
          </w:tcPr>
          <w:p w14:paraId="23A72290"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10</w:t>
            </w:r>
          </w:p>
        </w:tc>
        <w:tc>
          <w:tcPr>
            <w:tcW w:w="1590" w:type="dxa"/>
            <w:gridSpan w:val="2"/>
            <w:tcBorders>
              <w:top w:val="nil"/>
              <w:left w:val="nil"/>
              <w:bottom w:val="nil"/>
              <w:right w:val="nil"/>
            </w:tcBorders>
            <w:shd w:val="clear" w:color="auto" w:fill="auto"/>
            <w:noWrap/>
            <w:vAlign w:val="bottom"/>
            <w:hideMark/>
          </w:tcPr>
          <w:p w14:paraId="5DE5C6A7" w14:textId="77777777"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76</w:t>
            </w:r>
          </w:p>
        </w:tc>
        <w:tc>
          <w:tcPr>
            <w:tcW w:w="1721" w:type="dxa"/>
            <w:gridSpan w:val="3"/>
            <w:tcBorders>
              <w:top w:val="nil"/>
              <w:left w:val="nil"/>
              <w:bottom w:val="nil"/>
              <w:right w:val="nil"/>
            </w:tcBorders>
            <w:shd w:val="clear" w:color="auto" w:fill="auto"/>
            <w:noWrap/>
            <w:vAlign w:val="bottom"/>
            <w:hideMark/>
          </w:tcPr>
          <w:p w14:paraId="5302D46D" w14:textId="769B300A" w:rsidR="004B44D8" w:rsidRPr="004B44D8" w:rsidRDefault="004B44D8" w:rsidP="00391340">
            <w:pPr>
              <w:spacing w:after="0" w:line="240" w:lineRule="auto"/>
              <w:jc w:val="right"/>
              <w:rPr>
                <w:rFonts w:ascii="Calibri" w:eastAsia="Times New Roman" w:hAnsi="Calibri" w:cs="Calibri"/>
                <w:color w:val="000000"/>
              </w:rPr>
            </w:pPr>
            <w:r w:rsidRPr="004B44D8">
              <w:rPr>
                <w:rFonts w:ascii="Calibri" w:eastAsia="Times New Roman" w:hAnsi="Calibri" w:cs="Calibri"/>
                <w:color w:val="000000"/>
              </w:rPr>
              <w:t>44</w:t>
            </w:r>
            <w:r w:rsidR="00391340">
              <w:rPr>
                <w:rFonts w:ascii="Calibri" w:eastAsia="Times New Roman" w:hAnsi="Calibri" w:cs="Calibri"/>
                <w:color w:val="000000"/>
              </w:rPr>
              <w:t>%</w:t>
            </w:r>
          </w:p>
        </w:tc>
      </w:tr>
      <w:tr w:rsidR="004B44D8" w:rsidRPr="004B44D8" w14:paraId="0ED5D61A" w14:textId="77777777" w:rsidTr="00391340">
        <w:trPr>
          <w:trHeight w:val="300"/>
        </w:trPr>
        <w:tc>
          <w:tcPr>
            <w:tcW w:w="1980" w:type="dxa"/>
            <w:gridSpan w:val="2"/>
            <w:tcBorders>
              <w:top w:val="nil"/>
              <w:left w:val="nil"/>
              <w:bottom w:val="single" w:sz="4" w:space="0" w:color="auto"/>
              <w:right w:val="nil"/>
            </w:tcBorders>
            <w:shd w:val="clear" w:color="auto" w:fill="auto"/>
            <w:noWrap/>
            <w:vAlign w:val="bottom"/>
            <w:hideMark/>
          </w:tcPr>
          <w:p w14:paraId="3A37584F" w14:textId="77777777" w:rsidR="004B44D8" w:rsidRPr="004B44D8" w:rsidRDefault="004B44D8" w:rsidP="004B44D8">
            <w:pPr>
              <w:spacing w:after="0" w:line="240" w:lineRule="auto"/>
              <w:rPr>
                <w:rFonts w:ascii="Calibri" w:eastAsia="Times New Roman" w:hAnsi="Calibri" w:cs="Calibri"/>
                <w:b/>
                <w:bCs/>
                <w:color w:val="000000"/>
              </w:rPr>
            </w:pPr>
            <w:r w:rsidRPr="004B44D8">
              <w:rPr>
                <w:rFonts w:ascii="Calibri" w:eastAsia="Times New Roman" w:hAnsi="Calibri" w:cs="Calibri"/>
                <w:b/>
                <w:bCs/>
                <w:color w:val="000000"/>
              </w:rPr>
              <w:t>TOTAL</w:t>
            </w:r>
          </w:p>
        </w:tc>
        <w:tc>
          <w:tcPr>
            <w:tcW w:w="1424" w:type="dxa"/>
            <w:tcBorders>
              <w:top w:val="nil"/>
              <w:left w:val="nil"/>
              <w:bottom w:val="single" w:sz="4" w:space="0" w:color="auto"/>
              <w:right w:val="nil"/>
            </w:tcBorders>
            <w:shd w:val="clear" w:color="auto" w:fill="auto"/>
            <w:noWrap/>
            <w:vAlign w:val="bottom"/>
            <w:hideMark/>
          </w:tcPr>
          <w:p w14:paraId="78439428" w14:textId="77777777" w:rsidR="004B44D8" w:rsidRPr="004B44D8" w:rsidRDefault="004B44D8" w:rsidP="00391340">
            <w:pPr>
              <w:spacing w:after="0" w:line="240" w:lineRule="auto"/>
              <w:jc w:val="right"/>
              <w:rPr>
                <w:rFonts w:ascii="Calibri" w:eastAsia="Times New Roman" w:hAnsi="Calibri" w:cs="Calibri"/>
                <w:b/>
                <w:bCs/>
                <w:color w:val="000000"/>
              </w:rPr>
            </w:pPr>
            <w:r w:rsidRPr="004B44D8">
              <w:rPr>
                <w:rFonts w:ascii="Calibri" w:eastAsia="Times New Roman" w:hAnsi="Calibri" w:cs="Calibri"/>
                <w:b/>
                <w:bCs/>
                <w:color w:val="000000"/>
              </w:rPr>
              <w:t>5329</w:t>
            </w:r>
          </w:p>
        </w:tc>
        <w:tc>
          <w:tcPr>
            <w:tcW w:w="1375" w:type="dxa"/>
            <w:gridSpan w:val="2"/>
            <w:tcBorders>
              <w:top w:val="nil"/>
              <w:left w:val="nil"/>
              <w:bottom w:val="single" w:sz="4" w:space="0" w:color="auto"/>
              <w:right w:val="nil"/>
            </w:tcBorders>
            <w:shd w:val="clear" w:color="auto" w:fill="auto"/>
            <w:noWrap/>
            <w:vAlign w:val="bottom"/>
            <w:hideMark/>
          </w:tcPr>
          <w:p w14:paraId="5397AAFB" w14:textId="77777777" w:rsidR="004B44D8" w:rsidRPr="004B44D8" w:rsidRDefault="004B44D8" w:rsidP="00391340">
            <w:pPr>
              <w:spacing w:after="0" w:line="240" w:lineRule="auto"/>
              <w:jc w:val="right"/>
              <w:rPr>
                <w:rFonts w:ascii="Calibri" w:eastAsia="Times New Roman" w:hAnsi="Calibri" w:cs="Calibri"/>
                <w:b/>
                <w:bCs/>
                <w:color w:val="000000"/>
              </w:rPr>
            </w:pPr>
            <w:r w:rsidRPr="004B44D8">
              <w:rPr>
                <w:rFonts w:ascii="Calibri" w:eastAsia="Times New Roman" w:hAnsi="Calibri" w:cs="Calibri"/>
                <w:b/>
                <w:bCs/>
                <w:color w:val="000000"/>
              </w:rPr>
              <w:t>183</w:t>
            </w:r>
          </w:p>
        </w:tc>
        <w:tc>
          <w:tcPr>
            <w:tcW w:w="1375" w:type="dxa"/>
            <w:gridSpan w:val="2"/>
            <w:tcBorders>
              <w:top w:val="nil"/>
              <w:left w:val="nil"/>
              <w:bottom w:val="single" w:sz="4" w:space="0" w:color="auto"/>
              <w:right w:val="nil"/>
            </w:tcBorders>
            <w:shd w:val="clear" w:color="auto" w:fill="auto"/>
            <w:noWrap/>
            <w:vAlign w:val="bottom"/>
            <w:hideMark/>
          </w:tcPr>
          <w:p w14:paraId="7C87411D" w14:textId="77777777" w:rsidR="004B44D8" w:rsidRPr="004B44D8" w:rsidRDefault="004B44D8" w:rsidP="00391340">
            <w:pPr>
              <w:spacing w:after="0" w:line="240" w:lineRule="auto"/>
              <w:jc w:val="right"/>
              <w:rPr>
                <w:rFonts w:ascii="Calibri" w:eastAsia="Times New Roman" w:hAnsi="Calibri" w:cs="Calibri"/>
                <w:b/>
                <w:bCs/>
                <w:color w:val="000000"/>
              </w:rPr>
            </w:pPr>
            <w:r w:rsidRPr="004B44D8">
              <w:rPr>
                <w:rFonts w:ascii="Calibri" w:eastAsia="Times New Roman" w:hAnsi="Calibri" w:cs="Calibri"/>
                <w:b/>
                <w:bCs/>
                <w:color w:val="000000"/>
              </w:rPr>
              <w:t>643</w:t>
            </w:r>
          </w:p>
        </w:tc>
        <w:tc>
          <w:tcPr>
            <w:tcW w:w="1635" w:type="dxa"/>
            <w:gridSpan w:val="2"/>
            <w:tcBorders>
              <w:top w:val="nil"/>
              <w:left w:val="nil"/>
              <w:bottom w:val="single" w:sz="4" w:space="0" w:color="auto"/>
              <w:right w:val="nil"/>
            </w:tcBorders>
            <w:shd w:val="clear" w:color="auto" w:fill="auto"/>
            <w:noWrap/>
            <w:vAlign w:val="bottom"/>
            <w:hideMark/>
          </w:tcPr>
          <w:p w14:paraId="6BD9DEE2" w14:textId="77777777" w:rsidR="004B44D8" w:rsidRPr="004B44D8" w:rsidRDefault="004B44D8" w:rsidP="00391340">
            <w:pPr>
              <w:spacing w:after="0" w:line="240" w:lineRule="auto"/>
              <w:jc w:val="right"/>
              <w:rPr>
                <w:rFonts w:ascii="Calibri" w:eastAsia="Times New Roman" w:hAnsi="Calibri" w:cs="Calibri"/>
                <w:b/>
                <w:bCs/>
                <w:color w:val="000000"/>
              </w:rPr>
            </w:pPr>
            <w:r w:rsidRPr="004B44D8">
              <w:rPr>
                <w:rFonts w:ascii="Calibri" w:eastAsia="Times New Roman" w:hAnsi="Calibri" w:cs="Calibri"/>
                <w:b/>
                <w:bCs/>
                <w:color w:val="000000"/>
              </w:rPr>
              <w:t>182</w:t>
            </w:r>
          </w:p>
        </w:tc>
        <w:tc>
          <w:tcPr>
            <w:tcW w:w="1590" w:type="dxa"/>
            <w:gridSpan w:val="2"/>
            <w:tcBorders>
              <w:top w:val="nil"/>
              <w:left w:val="nil"/>
              <w:bottom w:val="single" w:sz="4" w:space="0" w:color="auto"/>
              <w:right w:val="nil"/>
            </w:tcBorders>
            <w:shd w:val="clear" w:color="auto" w:fill="auto"/>
            <w:noWrap/>
            <w:vAlign w:val="bottom"/>
            <w:hideMark/>
          </w:tcPr>
          <w:p w14:paraId="20486CEE" w14:textId="77777777" w:rsidR="004B44D8" w:rsidRPr="004B44D8" w:rsidRDefault="004B44D8" w:rsidP="00391340">
            <w:pPr>
              <w:spacing w:after="0" w:line="240" w:lineRule="auto"/>
              <w:jc w:val="right"/>
              <w:rPr>
                <w:rFonts w:ascii="Calibri" w:eastAsia="Times New Roman" w:hAnsi="Calibri" w:cs="Calibri"/>
                <w:b/>
                <w:bCs/>
                <w:color w:val="000000"/>
              </w:rPr>
            </w:pPr>
            <w:r w:rsidRPr="004B44D8">
              <w:rPr>
                <w:rFonts w:ascii="Calibri" w:eastAsia="Times New Roman" w:hAnsi="Calibri" w:cs="Calibri"/>
                <w:b/>
                <w:bCs/>
                <w:color w:val="000000"/>
              </w:rPr>
              <w:t>1040</w:t>
            </w:r>
          </w:p>
        </w:tc>
        <w:tc>
          <w:tcPr>
            <w:tcW w:w="1721" w:type="dxa"/>
            <w:gridSpan w:val="3"/>
            <w:tcBorders>
              <w:top w:val="nil"/>
              <w:left w:val="nil"/>
              <w:bottom w:val="single" w:sz="4" w:space="0" w:color="auto"/>
              <w:right w:val="nil"/>
            </w:tcBorders>
            <w:shd w:val="clear" w:color="auto" w:fill="auto"/>
            <w:noWrap/>
            <w:vAlign w:val="bottom"/>
            <w:hideMark/>
          </w:tcPr>
          <w:p w14:paraId="15879E6F" w14:textId="3A8EDB01" w:rsidR="004B44D8" w:rsidRPr="004B44D8" w:rsidRDefault="004B44D8" w:rsidP="00391340">
            <w:pPr>
              <w:spacing w:after="0" w:line="240" w:lineRule="auto"/>
              <w:jc w:val="right"/>
              <w:rPr>
                <w:rFonts w:ascii="Calibri" w:eastAsia="Times New Roman" w:hAnsi="Calibri" w:cs="Calibri"/>
                <w:b/>
                <w:bCs/>
                <w:color w:val="000000"/>
              </w:rPr>
            </w:pPr>
            <w:r w:rsidRPr="004B44D8">
              <w:rPr>
                <w:rFonts w:ascii="Calibri" w:eastAsia="Times New Roman" w:hAnsi="Calibri" w:cs="Calibri"/>
                <w:b/>
                <w:bCs/>
                <w:color w:val="000000"/>
              </w:rPr>
              <w:t>38</w:t>
            </w:r>
            <w:r w:rsidR="00391340">
              <w:rPr>
                <w:rFonts w:ascii="Calibri" w:eastAsia="Times New Roman" w:hAnsi="Calibri" w:cs="Calibri"/>
                <w:b/>
                <w:bCs/>
                <w:color w:val="000000"/>
              </w:rPr>
              <w:t>%</w:t>
            </w:r>
          </w:p>
        </w:tc>
      </w:tr>
    </w:tbl>
    <w:p w14:paraId="19C44910" w14:textId="4BFE943F" w:rsidR="00DB4B36" w:rsidRDefault="00DB4B36">
      <w:pPr>
        <w:rPr>
          <w:b/>
        </w:rPr>
      </w:pPr>
    </w:p>
    <w:p w14:paraId="1C98412F" w14:textId="77777777" w:rsidR="00391340" w:rsidRDefault="00391340" w:rsidP="002D7202">
      <w:pPr>
        <w:rPr>
          <w:b/>
        </w:rPr>
        <w:sectPr w:rsidR="00391340" w:rsidSect="00391340">
          <w:pgSz w:w="14900" w:h="10080" w:orient="landscape"/>
          <w:pgMar w:top="900" w:right="1400" w:bottom="900" w:left="290" w:header="720" w:footer="720" w:gutter="0"/>
          <w:cols w:space="720"/>
          <w:noEndnote/>
          <w:docGrid w:linePitch="299"/>
        </w:sectPr>
      </w:pPr>
    </w:p>
    <w:p w14:paraId="18C98975" w14:textId="45B7207C" w:rsidR="004B44D8" w:rsidRPr="00323B4D" w:rsidRDefault="002778F4" w:rsidP="002D7202">
      <w:pPr>
        <w:rPr>
          <w:b/>
          <w:sz w:val="28"/>
          <w:szCs w:val="28"/>
        </w:rPr>
      </w:pPr>
      <w:r w:rsidRPr="00323B4D">
        <w:rPr>
          <w:b/>
          <w:sz w:val="28"/>
          <w:szCs w:val="28"/>
        </w:rPr>
        <w:lastRenderedPageBreak/>
        <w:t>7.2 Multijurisdictional outbreak detection</w:t>
      </w:r>
    </w:p>
    <w:p w14:paraId="5205FFE7" w14:textId="5E2CA67B" w:rsidR="003B0E82" w:rsidRDefault="00435168" w:rsidP="003B0E82">
      <w:r w:rsidRPr="00435168">
        <w:rPr>
          <w:b/>
        </w:rPr>
        <w:t xml:space="preserve">7.2.1 Multijurisdictional outbreaks may be detected </w:t>
      </w:r>
      <w:r>
        <w:rPr>
          <w:b/>
        </w:rPr>
        <w:t>at local, state or</w:t>
      </w:r>
      <w:r w:rsidRPr="00435168">
        <w:rPr>
          <w:b/>
        </w:rPr>
        <w:t xml:space="preserve"> federal levels. </w:t>
      </w:r>
      <w:r w:rsidR="003B0E82" w:rsidRPr="003B0E82">
        <w:t xml:space="preserve">Outbreaks detected at the local level </w:t>
      </w:r>
      <w:r w:rsidR="003B0E82">
        <w:t>through investigations of consumer complaints, individual cases or case clusters of reportable foodborne illnesses (see Chapter 4)</w:t>
      </w:r>
      <w:r>
        <w:t xml:space="preserve">, may identify common-source outbreaks or multiple sub-clusters of illnesses that </w:t>
      </w:r>
      <w:r w:rsidR="00E126CD">
        <w:t xml:space="preserve">implicate or suggest likely </w:t>
      </w:r>
      <w:r>
        <w:t>contamination of food before the point of service</w:t>
      </w:r>
      <w:r w:rsidR="003B0E82">
        <w:t xml:space="preserve">.  </w:t>
      </w:r>
    </w:p>
    <w:p w14:paraId="1055304A" w14:textId="1823C4B8" w:rsidR="00AB753E" w:rsidRDefault="00E73CEB" w:rsidP="00E73CEB">
      <w:r>
        <w:t xml:space="preserve">Detection of </w:t>
      </w:r>
      <w:r w:rsidR="00FD2D9A">
        <w:t>multijurisdictional outbreaks at a state level may result from an</w:t>
      </w:r>
      <w:r>
        <w:t xml:space="preserve"> increase of sporadic infections with common sub</w:t>
      </w:r>
      <w:r w:rsidR="00FD2D9A">
        <w:t>type characteristics identified, investigation of s</w:t>
      </w:r>
      <w:r>
        <w:t xml:space="preserve">ub-clusters of illnesses </w:t>
      </w:r>
      <w:r w:rsidR="00FD2D9A">
        <w:t>that identify a possible association</w:t>
      </w:r>
      <w:r>
        <w:t xml:space="preserve"> with multiple </w:t>
      </w:r>
      <w:r w:rsidR="00FD2D9A">
        <w:t xml:space="preserve">food-service establishments, </w:t>
      </w:r>
      <w:r w:rsidR="003629CA">
        <w:t>or</w:t>
      </w:r>
      <w:r w:rsidR="00FD2D9A">
        <w:t xml:space="preserve"> the linking of multiple, discrete c</w:t>
      </w:r>
      <w:r>
        <w:t xml:space="preserve">ommon-source outbreaks by common agent, food, or water.  </w:t>
      </w:r>
    </w:p>
    <w:p w14:paraId="22C0D018" w14:textId="7D13F90A" w:rsidR="00FD2D9A" w:rsidRDefault="00FD2D9A" w:rsidP="00FD2D9A">
      <w:r>
        <w:t>Similarly, national increases of infections with common subtype characteristics identified, identification of sub-clusters of illnesses associated with multiple restaurants or food-service establishments in multiple states, and linkage of multiple, discrete common-source outbreaks in multiple states would lead to a multijurisdictional outbreak investigation.</w:t>
      </w:r>
    </w:p>
    <w:p w14:paraId="74EB9F8E" w14:textId="582D8DEB" w:rsidR="00E126CD" w:rsidRDefault="00BD4F46" w:rsidP="00435168">
      <w:r>
        <w:t xml:space="preserve">Detection of a pathogen, such as </w:t>
      </w:r>
      <w:r w:rsidRPr="00BD4F46">
        <w:rPr>
          <w:i/>
        </w:rPr>
        <w:t>Listeria</w:t>
      </w:r>
      <w:r>
        <w:t xml:space="preserve"> </w:t>
      </w:r>
      <w:r w:rsidRPr="00BD4F46">
        <w:rPr>
          <w:i/>
        </w:rPr>
        <w:t>monocytogenes</w:t>
      </w:r>
      <w:r>
        <w:t xml:space="preserve">, </w:t>
      </w:r>
      <w:r w:rsidR="003C768E">
        <w:t xml:space="preserve">Shiga-toxin producing </w:t>
      </w:r>
      <w:r w:rsidR="003C768E" w:rsidRPr="00F612B8">
        <w:rPr>
          <w:i/>
        </w:rPr>
        <w:t>E. coli</w:t>
      </w:r>
      <w:r w:rsidR="003C768E">
        <w:t xml:space="preserve"> (</w:t>
      </w:r>
      <w:r>
        <w:t>STEC</w:t>
      </w:r>
      <w:r w:rsidR="003C768E">
        <w:t>)</w:t>
      </w:r>
      <w:r>
        <w:t xml:space="preserve">, or </w:t>
      </w:r>
      <w:r w:rsidRPr="00BD4F46">
        <w:rPr>
          <w:i/>
        </w:rPr>
        <w:t>Salmonella</w:t>
      </w:r>
      <w:r>
        <w:t xml:space="preserve"> from a f</w:t>
      </w:r>
      <w:r w:rsidR="00FD2D9A">
        <w:t xml:space="preserve">ood item </w:t>
      </w:r>
      <w:r>
        <w:t xml:space="preserve">as a result testing by a federal or state food regulatory agency would lead to a search for human illnesses caused by the same organism with common subtype characteristics. </w:t>
      </w:r>
      <w:r w:rsidR="007C65CE">
        <w:t>Multijurisdictional i</w:t>
      </w:r>
      <w:r>
        <w:t>nvestigation of infections with common subtype characteristics</w:t>
      </w:r>
      <w:r w:rsidR="007C65CE">
        <w:t xml:space="preserve"> would be conducted </w:t>
      </w:r>
      <w:r w:rsidR="00C65BE1">
        <w:t xml:space="preserve">to </w:t>
      </w:r>
      <w:r w:rsidR="007C65CE">
        <w:t>determine if they were part of an outbreak.</w:t>
      </w:r>
      <w:r w:rsidR="00435168" w:rsidRPr="00435168">
        <w:t xml:space="preserve"> </w:t>
      </w:r>
    </w:p>
    <w:p w14:paraId="654F483E" w14:textId="7F5202B4" w:rsidR="003B0E82" w:rsidRPr="003B0E82" w:rsidRDefault="00E126CD" w:rsidP="00435168">
      <w:pPr>
        <w:rPr>
          <w:b/>
        </w:rPr>
      </w:pPr>
      <w:r>
        <w:rPr>
          <w:b/>
        </w:rPr>
        <w:t>7.2.2</w:t>
      </w:r>
      <w:r w:rsidR="00435168" w:rsidRPr="00332478">
        <w:rPr>
          <w:b/>
        </w:rPr>
        <w:t xml:space="preserve"> When findings indicate that multiple jurisdictions might be involved, additional communication and coordination are needed (Table 7.3).</w:t>
      </w:r>
      <w:r w:rsidRPr="00E126CD">
        <w:t xml:space="preserve"> </w:t>
      </w:r>
      <w:r w:rsidRPr="003B0E82">
        <w:t xml:space="preserve">With initiation of an outbreak investigation, a local agency should ensure notification of the </w:t>
      </w:r>
      <w:r>
        <w:t>state health department and other local</w:t>
      </w:r>
      <w:r w:rsidRPr="003B0E82">
        <w:t xml:space="preserve"> agencies</w:t>
      </w:r>
      <w:r w:rsidR="00B86F20">
        <w:t>,</w:t>
      </w:r>
      <w:r>
        <w:t xml:space="preserve"> as appropriate</w:t>
      </w:r>
      <w:r w:rsidRPr="003B0E82">
        <w:t>, and provide subsequent updates in a</w:t>
      </w:r>
      <w:r>
        <w:t>ccordance with state procedures to ensure coordination between</w:t>
      </w:r>
      <w:r w:rsidRPr="003B0E82">
        <w:t xml:space="preserve"> epidemiology, environmental health, </w:t>
      </w:r>
      <w:r>
        <w:t xml:space="preserve">and the public health </w:t>
      </w:r>
      <w:r w:rsidRPr="003B0E82">
        <w:t>laboratory</w:t>
      </w:r>
      <w:r>
        <w:t>.</w:t>
      </w:r>
      <w:r w:rsidRPr="00435168">
        <w:rPr>
          <w:b/>
        </w:rPr>
        <w:t xml:space="preserve"> </w:t>
      </w:r>
    </w:p>
    <w:p w14:paraId="784B9C06" w14:textId="029B0293" w:rsidR="00617878" w:rsidRDefault="00617878" w:rsidP="00617878">
      <w:r>
        <w:t>Detection of multijurisdicti</w:t>
      </w:r>
      <w:r w:rsidR="00E94A0C">
        <w:t>onal outbreaks at a state level</w:t>
      </w:r>
      <w:r>
        <w:t xml:space="preserve"> requires notification of</w:t>
      </w:r>
      <w:r w:rsidRPr="00617878">
        <w:t xml:space="preserve"> affected coun</w:t>
      </w:r>
      <w:r>
        <w:t>ty and city health departments</w:t>
      </w:r>
      <w:r w:rsidR="00F612B8">
        <w:t>.</w:t>
      </w:r>
      <w:r>
        <w:t xml:space="preserve"> </w:t>
      </w:r>
      <w:r w:rsidR="00F612B8">
        <w:t>CDC and s</w:t>
      </w:r>
      <w:r>
        <w:t>tate and federal food regulatory agencies need to be notified of sub-clusters or linked common-source outbreaks.</w:t>
      </w:r>
      <w:r w:rsidR="00B03D06">
        <w:t xml:space="preserve"> For example, FDA has established its </w:t>
      </w:r>
      <w:r w:rsidR="00B03D06" w:rsidRPr="00B03D06">
        <w:rPr>
          <w:rStyle w:val="Strong"/>
          <w:rFonts w:cstheme="minorHAnsi"/>
          <w:b w:val="0"/>
          <w:color w:val="333333"/>
          <w:sz w:val="21"/>
          <w:szCs w:val="21"/>
          <w:shd w:val="clear" w:color="auto" w:fill="FFFFFF"/>
        </w:rPr>
        <w:t>Coordinated Outbreak Response and Evaluation (CORE) Network</w:t>
      </w:r>
      <w:r w:rsidR="00B03D06">
        <w:rPr>
          <w:rStyle w:val="Strong"/>
          <w:rFonts w:cstheme="minorHAnsi"/>
          <w:b w:val="0"/>
          <w:color w:val="333333"/>
          <w:sz w:val="21"/>
          <w:szCs w:val="21"/>
          <w:shd w:val="clear" w:color="auto" w:fill="FFFFFF"/>
        </w:rPr>
        <w:t xml:space="preserve"> to respond to outbreaks.</w:t>
      </w:r>
      <w:r w:rsidR="00B03D06">
        <w:t xml:space="preserve"> </w:t>
      </w:r>
      <w:r w:rsidR="00FC03CB">
        <w:t>USDA-</w:t>
      </w:r>
      <w:r w:rsidR="00B03D06">
        <w:t xml:space="preserve">FSIS has developed a template </w:t>
      </w:r>
      <w:r w:rsidR="00B03D06" w:rsidRPr="00B03D06">
        <w:t xml:space="preserve">for </w:t>
      </w:r>
      <w:r w:rsidR="00EF53E7">
        <w:t>i</w:t>
      </w:r>
      <w:r w:rsidR="00EF53E7" w:rsidRPr="00B03D06">
        <w:t xml:space="preserve">ncluding </w:t>
      </w:r>
      <w:r w:rsidR="00B03D06" w:rsidRPr="00B03D06">
        <w:t>FSIS in Foodborne Illness Outbreak Response Procedures</w:t>
      </w:r>
      <w:r w:rsidR="00B03D06">
        <w:t xml:space="preserve"> (</w:t>
      </w:r>
      <w:hyperlink r:id="rId13" w:history="1">
        <w:r w:rsidR="00B03D06" w:rsidRPr="00BC1100">
          <w:rPr>
            <w:rStyle w:val="Hyperlink"/>
          </w:rPr>
          <w:t>www.fsis.usda.gov/OutbreakProcedures</w:t>
        </w:r>
      </w:hyperlink>
      <w:r w:rsidR="00B03D06">
        <w:t xml:space="preserve">). </w:t>
      </w:r>
    </w:p>
    <w:p w14:paraId="4FD718B0" w14:textId="713D86D0" w:rsidR="00B03D06" w:rsidRPr="00617878" w:rsidRDefault="00617878" w:rsidP="00617878">
      <w:r>
        <w:t xml:space="preserve">Detection of </w:t>
      </w:r>
      <w:r w:rsidRPr="00617878">
        <w:t xml:space="preserve">multijurisdictional outbreaks at a </w:t>
      </w:r>
      <w:r>
        <w:t>national</w:t>
      </w:r>
      <w:r w:rsidRPr="00617878">
        <w:t xml:space="preserve"> level</w:t>
      </w:r>
      <w:r w:rsidR="00E94A0C">
        <w:t xml:space="preserve"> </w:t>
      </w:r>
      <w:r w:rsidR="004521CE">
        <w:t>requires notification of</w:t>
      </w:r>
      <w:r w:rsidR="004521CE" w:rsidRPr="004521CE">
        <w:t xml:space="preserve"> appropriate state and federal food regulatory agencies, and state health departments</w:t>
      </w:r>
      <w:r w:rsidR="00F612B8">
        <w:t>,</w:t>
      </w:r>
      <w:r w:rsidR="004521CE" w:rsidRPr="004521CE">
        <w:t xml:space="preserve"> of </w:t>
      </w:r>
      <w:r w:rsidR="00F612B8">
        <w:t xml:space="preserve">an </w:t>
      </w:r>
      <w:r w:rsidR="004521CE" w:rsidRPr="004521CE">
        <w:t xml:space="preserve">increase in </w:t>
      </w:r>
      <w:r w:rsidR="00F612B8">
        <w:t xml:space="preserve">apparently sporadic </w:t>
      </w:r>
      <w:r w:rsidR="004521CE" w:rsidRPr="004521CE">
        <w:t>infections, sub-clusters, or linked common-source outbreaks.</w:t>
      </w:r>
      <w:r w:rsidR="004521CE">
        <w:t xml:space="preserve"> In these events, states typically notify local agencies of the outbreak and the need for their assistance in conducting the investigation.</w:t>
      </w:r>
      <w:r w:rsidR="0067309A" w:rsidRPr="0067309A">
        <w:t xml:space="preserve"> </w:t>
      </w:r>
      <w:r w:rsidR="0067309A">
        <w:t xml:space="preserve">Of particular importance are </w:t>
      </w:r>
      <w:r w:rsidR="0067309A">
        <w:lastRenderedPageBreak/>
        <w:t>requests to i</w:t>
      </w:r>
      <w:r w:rsidR="0067309A" w:rsidRPr="0067309A">
        <w:t>nterview cases as soon as possible using a detailed exposure questionnaire to obtain detailed food and environmental exposure histories, including product brand and retail source.</w:t>
      </w:r>
    </w:p>
    <w:p w14:paraId="6FACB094" w14:textId="40B271E5" w:rsidR="003827BE" w:rsidRPr="0033316E" w:rsidRDefault="00C809B2" w:rsidP="00C809B2">
      <w:pPr>
        <w:rPr>
          <w:b/>
        </w:rPr>
      </w:pPr>
      <w:r>
        <w:rPr>
          <w:b/>
        </w:rPr>
        <w:t>7.2.3</w:t>
      </w:r>
      <w:r w:rsidRPr="003B0E82">
        <w:rPr>
          <w:b/>
        </w:rPr>
        <w:t xml:space="preserve"> </w:t>
      </w:r>
      <w:r>
        <w:rPr>
          <w:b/>
        </w:rPr>
        <w:t>Assemble and brief the outbreak and investigation control team</w:t>
      </w:r>
      <w:r w:rsidR="0033316E">
        <w:rPr>
          <w:b/>
        </w:rPr>
        <w:t xml:space="preserve">. </w:t>
      </w:r>
      <w:r w:rsidR="003827BE">
        <w:t>As noted in Chapter 5, o</w:t>
      </w:r>
      <w:r w:rsidR="003827BE" w:rsidRPr="003827BE">
        <w:t>pen communication between investigation members to plan, conduct</w:t>
      </w:r>
      <w:r w:rsidR="00EF53E7">
        <w:t>,</w:t>
      </w:r>
      <w:r w:rsidR="003827BE" w:rsidRPr="003827BE">
        <w:t xml:space="preserve"> and evaluate outbreak investigation activities is critical to the success of the investigation.</w:t>
      </w:r>
      <w:r w:rsidR="003827BE">
        <w:t xml:space="preserve">  </w:t>
      </w:r>
      <w:r w:rsidR="003827BE" w:rsidRPr="003827BE">
        <w:t xml:space="preserve">For </w:t>
      </w:r>
      <w:r w:rsidR="003827BE">
        <w:t>multijurisdictional investigations</w:t>
      </w:r>
      <w:r w:rsidR="003827BE" w:rsidRPr="003827BE">
        <w:t>, the outbreak investigation and control team should include members from all agencies participating in the investigation</w:t>
      </w:r>
      <w:r w:rsidR="003827BE">
        <w:t>. Chapter 3 includes a table of agencies, roles</w:t>
      </w:r>
      <w:r w:rsidR="00EF53E7">
        <w:t>,</w:t>
      </w:r>
      <w:r w:rsidR="003827BE">
        <w:t xml:space="preserve"> and responsibilities that can help identify applicable partners. </w:t>
      </w:r>
      <w:r w:rsidR="002078D9">
        <w:t xml:space="preserve">Agency preparedness plans should be in place to facilitate rapid identification and notification of these key partners. In addition, </w:t>
      </w:r>
      <w:r w:rsidR="00DF2AC8">
        <w:t>many</w:t>
      </w:r>
      <w:r w:rsidR="00DF2AC8">
        <w:t xml:space="preserve"> </w:t>
      </w:r>
      <w:r w:rsidR="003827BE">
        <w:t>health departments have incident command systems (ICS) that guide outbreak responses within the public health agencies</w:t>
      </w:r>
      <w:r w:rsidR="002078D9">
        <w:t xml:space="preserve"> (</w:t>
      </w:r>
      <w:r w:rsidR="00E126CD">
        <w:t>see Box 7.1</w:t>
      </w:r>
      <w:r w:rsidR="002078D9">
        <w:t>)</w:t>
      </w:r>
      <w:r w:rsidR="003827BE">
        <w:t>. Historically, investigations of multijurisdictional foodborne disease outbreaks have not required formal activation of ICS. However</w:t>
      </w:r>
      <w:r w:rsidR="00EF53E7">
        <w:t>,</w:t>
      </w:r>
      <w:r w:rsidR="003827BE">
        <w:t xml:space="preserve"> federal agencies are now mandated to use ICS for response to outbreak incidents.</w:t>
      </w:r>
    </w:p>
    <w:tbl>
      <w:tblPr>
        <w:tblStyle w:val="TableGrid"/>
        <w:tblW w:w="0" w:type="auto"/>
        <w:tblLook w:val="04A0" w:firstRow="1" w:lastRow="0" w:firstColumn="1" w:lastColumn="0" w:noHBand="0" w:noVBand="1"/>
      </w:tblPr>
      <w:tblGrid>
        <w:gridCol w:w="8270"/>
      </w:tblGrid>
      <w:tr w:rsidR="00E126CD" w14:paraId="25E59492" w14:textId="77777777" w:rsidTr="00FD78A6">
        <w:tc>
          <w:tcPr>
            <w:tcW w:w="8270" w:type="dxa"/>
          </w:tcPr>
          <w:p w14:paraId="0A562567" w14:textId="77777777" w:rsidR="00E126CD" w:rsidRDefault="00E126CD" w:rsidP="00FD78A6">
            <w:r>
              <w:t xml:space="preserve">Box 7.1 Use of </w:t>
            </w:r>
            <w:r w:rsidRPr="006470A6">
              <w:t>Incident Command System</w:t>
            </w:r>
            <w:r>
              <w:t>s</w:t>
            </w:r>
            <w:r w:rsidRPr="006470A6">
              <w:t xml:space="preserve"> (ICS)</w:t>
            </w:r>
          </w:p>
        </w:tc>
      </w:tr>
      <w:tr w:rsidR="00E126CD" w14:paraId="3222C9E7" w14:textId="77777777" w:rsidTr="00FD78A6">
        <w:tc>
          <w:tcPr>
            <w:tcW w:w="8270" w:type="dxa"/>
          </w:tcPr>
          <w:p w14:paraId="738168B2" w14:textId="2ACC1ED7" w:rsidR="00E126CD" w:rsidRDefault="00E126CD" w:rsidP="00FD78A6">
            <w:r>
              <w:t xml:space="preserve">ICS is the nationally recognized way that diverse individuals, agencies, and the private sector plan to work together to command, coordinate, and communicate during emergencies. </w:t>
            </w:r>
            <w:r w:rsidR="00DF2AC8">
              <w:t>A</w:t>
            </w:r>
            <w:r>
              <w:t xml:space="preserve">gencies responding to a public health emergency or foodborne outbreak </w:t>
            </w:r>
            <w:r w:rsidR="00DF2AC8">
              <w:t xml:space="preserve">can </w:t>
            </w:r>
            <w:r>
              <w:t xml:space="preserve">use ICS principles to help manage responses. ICS principles provide the flexibility needed to manage a wide range of foodborne illness outbreak responses including single agency, multi-agency, routine and non-routine investigation and control teams. </w:t>
            </w:r>
          </w:p>
          <w:p w14:paraId="469A75B1" w14:textId="77777777" w:rsidR="00E126CD" w:rsidRDefault="00E126CD" w:rsidP="00FD78A6"/>
          <w:p w14:paraId="2EA1D90D" w14:textId="0FB8C040" w:rsidR="00E126CD" w:rsidRDefault="00E126CD" w:rsidP="00FD78A6">
            <w:r>
              <w:t xml:space="preserve">ICS provides for internal communications between primary event responders, public information officers, security/safety officers, and for external liaison with various organizations. Key features for foodborne outbreak investigation and control teams include: </w:t>
            </w:r>
          </w:p>
          <w:p w14:paraId="121081B8" w14:textId="26AB0A7C" w:rsidR="00E126CD" w:rsidRDefault="00E126CD" w:rsidP="00FD78A6">
            <w:pPr>
              <w:ind w:left="240" w:hanging="240"/>
            </w:pPr>
            <w:r>
              <w:t>•  Standardized but flexible organizational structure</w:t>
            </w:r>
            <w:r w:rsidR="00DF2AC8">
              <w:t>;</w:t>
            </w:r>
            <w:r>
              <w:t xml:space="preserve"> </w:t>
            </w:r>
          </w:p>
          <w:p w14:paraId="1E4D39F3" w14:textId="513265DD" w:rsidR="00E126CD" w:rsidRDefault="00E126CD" w:rsidP="00FD78A6">
            <w:r>
              <w:t>•  Clearly defined and standardized roles and responsibilities</w:t>
            </w:r>
            <w:r w:rsidR="00DF2AC8">
              <w:t>;</w:t>
            </w:r>
            <w:r>
              <w:t xml:space="preserve"> </w:t>
            </w:r>
          </w:p>
          <w:p w14:paraId="13B4EB68" w14:textId="7134A122" w:rsidR="00E126CD" w:rsidRDefault="00E126CD" w:rsidP="00FD78A6">
            <w:r>
              <w:t>•  Formalized and systematic planning approach (the Planning P)</w:t>
            </w:r>
            <w:r w:rsidR="00DF2AC8">
              <w:t>;</w:t>
            </w:r>
            <w:r>
              <w:t xml:space="preserve"> </w:t>
            </w:r>
          </w:p>
          <w:p w14:paraId="1EB7BD3D" w14:textId="211CEA2E" w:rsidR="00E126CD" w:rsidRDefault="00E126CD" w:rsidP="00FD78A6">
            <w:r>
              <w:t>•  Coordinated response team, stakeholder, and public communications</w:t>
            </w:r>
            <w:r w:rsidR="00DF2AC8">
              <w:t>; and</w:t>
            </w:r>
          </w:p>
          <w:p w14:paraId="09E39971" w14:textId="1CBEED17" w:rsidR="00E126CD" w:rsidRDefault="00E126CD" w:rsidP="00FD78A6">
            <w:r>
              <w:t>•  Formalize</w:t>
            </w:r>
            <w:r w:rsidR="00DF2AC8">
              <w:t>d</w:t>
            </w:r>
            <w:r>
              <w:t xml:space="preserve"> mechanisms for managing transitions from routine to non-routine responses by expanding and contracting response team structure and resources as needed</w:t>
            </w:r>
            <w:r w:rsidR="00DF2AC8">
              <w:t>.</w:t>
            </w:r>
          </w:p>
          <w:p w14:paraId="7B823414" w14:textId="77777777" w:rsidR="00E126CD" w:rsidRDefault="00E126CD" w:rsidP="00FD78A6"/>
          <w:p w14:paraId="4D14CDAA" w14:textId="77777777" w:rsidR="00E126CD" w:rsidRDefault="00E126CD" w:rsidP="00FD78A6">
            <w:r>
              <w:t>The above features provide a predictable framework that can bring order to potentially chaotic situations when standard agency operating procedures and routine chain of command are inadequate to address the needs of an incident.</w:t>
            </w:r>
          </w:p>
        </w:tc>
      </w:tr>
    </w:tbl>
    <w:p w14:paraId="1FBBBB34" w14:textId="77777777" w:rsidR="00E126CD" w:rsidRDefault="00E126CD" w:rsidP="00C809B2"/>
    <w:p w14:paraId="24660C5E" w14:textId="42EE08B8" w:rsidR="00E126CD" w:rsidRDefault="00E126CD" w:rsidP="00C809B2">
      <w:r>
        <w:t>Because o</w:t>
      </w:r>
      <w:r w:rsidRPr="003827BE">
        <w:t xml:space="preserve">utbreak investigation staff </w:t>
      </w:r>
      <w:r>
        <w:t xml:space="preserve">may be physically located in different agencies located in several different cities or states, briefings may need to be conducted by teleconference or webinar. </w:t>
      </w:r>
      <w:r w:rsidRPr="003827BE">
        <w:t xml:space="preserve"> Ensure that all members of the of the investigation team, including </w:t>
      </w:r>
      <w:r w:rsidRPr="003827BE">
        <w:lastRenderedPageBreak/>
        <w:t>epidemiologists, laboratorians, environmental health specialists, and food</w:t>
      </w:r>
      <w:r w:rsidR="00DF2AC8">
        <w:t xml:space="preserve"> regulators</w:t>
      </w:r>
      <w:r w:rsidRPr="003827BE">
        <w:t>, are familiar with and follow relevant state and federal laws</w:t>
      </w:r>
      <w:r>
        <w:t>, terms of memos of understanding between agencies,</w:t>
      </w:r>
      <w:r w:rsidRPr="003827BE">
        <w:t xml:space="preserve"> and data handling practices.</w:t>
      </w:r>
    </w:p>
    <w:p w14:paraId="1A5B8DA9" w14:textId="1F83875A" w:rsidR="003B0E82" w:rsidRPr="00323B4D" w:rsidRDefault="003B0E82" w:rsidP="003B0E82">
      <w:pPr>
        <w:rPr>
          <w:b/>
          <w:sz w:val="28"/>
          <w:szCs w:val="28"/>
        </w:rPr>
      </w:pPr>
      <w:r w:rsidRPr="00323B4D">
        <w:rPr>
          <w:b/>
          <w:sz w:val="28"/>
          <w:szCs w:val="28"/>
        </w:rPr>
        <w:t>7.3 Identifying and investigating sub-clusters</w:t>
      </w:r>
    </w:p>
    <w:p w14:paraId="79F5B663" w14:textId="31F7D72B" w:rsidR="006D7FBB" w:rsidRDefault="00DF2AC8" w:rsidP="006D7FBB">
      <w:r>
        <w:t>Sub-clusters are groups of cases within a larger defined cluster that identify exposure to the same individual points of service such as a restaurant, cafeteria, grocery store or institution.</w:t>
      </w:r>
      <w:r>
        <w:t xml:space="preserve"> </w:t>
      </w:r>
      <w:r w:rsidR="00464389" w:rsidRPr="00464389">
        <w:t xml:space="preserve">As noted in Chapter 5, </w:t>
      </w:r>
      <w:r w:rsidR="006D7FBB">
        <w:t>sub-cluster investigations represent</w:t>
      </w:r>
      <w:r w:rsidR="00464389">
        <w:t xml:space="preserve"> an invaluable opportunity to solve </w:t>
      </w:r>
      <w:r w:rsidR="006D7FBB">
        <w:t>an</w:t>
      </w:r>
      <w:r w:rsidR="00464389">
        <w:t xml:space="preserve"> outbreak</w:t>
      </w:r>
      <w:r w:rsidR="00FC03CB">
        <w:t>,</w:t>
      </w:r>
      <w:r w:rsidR="00464389">
        <w:t xml:space="preserve"> because the outbreak vehicle was most likely served by the common establishment. </w:t>
      </w:r>
      <w:r w:rsidR="006D7FBB">
        <w:t xml:space="preserve">While sub-clusters have traditionally been identified within clusters of cases defined by a common serotype, pulsed-field gel electrophoresis pattern, or closely related WGS, successful sub-cluster investigations have </w:t>
      </w:r>
      <w:r>
        <w:t xml:space="preserve">also </w:t>
      </w:r>
      <w:r w:rsidR="006D7FBB">
        <w:t xml:space="preserve">been conducted during </w:t>
      </w:r>
      <w:r w:rsidR="006D7FBB" w:rsidRPr="006D7FBB">
        <w:rPr>
          <w:i/>
        </w:rPr>
        <w:t>Cyclospora</w:t>
      </w:r>
      <w:r w:rsidR="006D7FBB">
        <w:t xml:space="preserve"> outbreaks, where no subtyping of the outbreak strain characteristics was possible. </w:t>
      </w:r>
    </w:p>
    <w:p w14:paraId="4E27CDEA" w14:textId="052AE99E" w:rsidR="00032167" w:rsidRDefault="00032167" w:rsidP="006D7FBB">
      <w:r>
        <w:t>In multijurisdictional investigations, special efforts should be made to identify potential sub-clusters across the geographic distribution of outbreak cases, and to prioritize the coordination of sub-cluster investigations and tracing of common food exposures associated with the sub-clusters. If not previously e</w:t>
      </w:r>
      <w:r w:rsidRPr="00032167">
        <w:t>stablish</w:t>
      </w:r>
      <w:r>
        <w:t>ed, a</w:t>
      </w:r>
      <w:r w:rsidRPr="00032167">
        <w:t xml:space="preserve"> coordinating office (or individual) for </w:t>
      </w:r>
      <w:r>
        <w:t xml:space="preserve">sub-cluster </w:t>
      </w:r>
      <w:r w:rsidRPr="00032167">
        <w:t>investigations</w:t>
      </w:r>
      <w:r>
        <w:t xml:space="preserve"> should be empowered to prioritize</w:t>
      </w:r>
      <w:r w:rsidRPr="00032167">
        <w:t xml:space="preserve"> collect</w:t>
      </w:r>
      <w:r>
        <w:t>ion, organization, and dissemination</w:t>
      </w:r>
      <w:r w:rsidRPr="00032167">
        <w:t xml:space="preserve"> </w:t>
      </w:r>
      <w:r>
        <w:t>of sub-cluster</w:t>
      </w:r>
      <w:r w:rsidRPr="00032167">
        <w:t xml:space="preserve"> data.</w:t>
      </w:r>
      <w:r>
        <w:t xml:space="preserve"> </w:t>
      </w:r>
    </w:p>
    <w:p w14:paraId="13EC577F" w14:textId="0A9B9D69" w:rsidR="003B0E82" w:rsidRPr="00323B4D" w:rsidRDefault="003B0E82" w:rsidP="003B0E82">
      <w:pPr>
        <w:rPr>
          <w:b/>
          <w:sz w:val="28"/>
          <w:szCs w:val="28"/>
        </w:rPr>
      </w:pPr>
      <w:r w:rsidRPr="00323B4D">
        <w:rPr>
          <w:b/>
          <w:sz w:val="28"/>
          <w:szCs w:val="28"/>
        </w:rPr>
        <w:t>7.4 Coordination of multijurisdictional investigations</w:t>
      </w:r>
    </w:p>
    <w:p w14:paraId="2AEC8EC3" w14:textId="3E9B2185" w:rsidR="003629CA" w:rsidRPr="003629CA" w:rsidRDefault="003629CA" w:rsidP="003629CA">
      <w:r w:rsidRPr="003629CA">
        <w:t>Coordinating a multijurisdictional investigation might require establishment of a coordinating office to collect, organize,</w:t>
      </w:r>
      <w:r>
        <w:t xml:space="preserve"> </w:t>
      </w:r>
      <w:r w:rsidRPr="003629CA">
        <w:t>and disseminate data from the investigation. Depending on the scope and nature of the multijurisdictional event, the coordinating office might be located at a local or state public health or food-regulatory agency or at CDC, FDA, or USDA-FSIS.</w:t>
      </w:r>
    </w:p>
    <w:p w14:paraId="4616DA96" w14:textId="502D95CC" w:rsidR="003629CA" w:rsidRDefault="003629CA" w:rsidP="003629CA">
      <w:r w:rsidRPr="003629CA">
        <w:t>Several principles guide the decision about where to locate the coordinating office for a given multijurisdictional investigation. The primary goal is to avoid interagency conflict about coordination that might distract from prompt conduct of the investigation and to present unified, consistent messages to the public.</w:t>
      </w:r>
    </w:p>
    <w:p w14:paraId="3E0C4418" w14:textId="7F64D737" w:rsidR="003629CA" w:rsidRDefault="003629CA" w:rsidP="00E126CD">
      <w:pPr>
        <w:pStyle w:val="ListParagraph"/>
        <w:numPr>
          <w:ilvl w:val="0"/>
          <w:numId w:val="74"/>
        </w:numPr>
        <w:ind w:left="360"/>
      </w:pPr>
      <w:r>
        <w:t>Outbreaks are most efficiently investigated as close to the source as possible. In gen</w:t>
      </w:r>
      <w:r w:rsidR="00753B99">
        <w:t>eral, investigations should be</w:t>
      </w:r>
      <w:r>
        <w:t xml:space="preserve"> coordinated at the level at which the outbreak originally was detected and investigated. This is likely to be where most relevant investigation materials will reside, which can facilitate organization and analysis of data. An outbreak involving several local health agencies might best be coordinated by a lead local agency. Similarly, investigation of a multistate outbreak with most cases in one or a few adjacent states might best be coordinated by a lead state agency. Investigations of outbreaks of more widely dispersed sporadic cases might best be coordinated by CDC.</w:t>
      </w:r>
    </w:p>
    <w:p w14:paraId="4AECBA78" w14:textId="7FB35015" w:rsidR="00753B99" w:rsidRDefault="003629CA" w:rsidP="00E126CD">
      <w:pPr>
        <w:pStyle w:val="ListParagraph"/>
        <w:numPr>
          <w:ilvl w:val="0"/>
          <w:numId w:val="74"/>
        </w:numPr>
        <w:ind w:left="360"/>
      </w:pPr>
      <w:r>
        <w:lastRenderedPageBreak/>
        <w:t>The coordinating office must have sufficient resources, expertise, and legal authority to collect, organize, and disseminate</w:t>
      </w:r>
      <w:r w:rsidR="00753B99">
        <w:t xml:space="preserve"> </w:t>
      </w:r>
      <w:r>
        <w:t>data from the investigation. Many local agencies might not have sufficient resources to effectively coordinate a multijurisdictional investigation, or state rules might assign jurisdiction over multicounty investigations</w:t>
      </w:r>
      <w:r w:rsidR="00753B99">
        <w:t xml:space="preserve"> to the state health department. In these situations, the coordinating office should be located at the state level. In multistate investigations, the coordinating office should be located at CDC if no individual state is prepared to do so. In multistate investigations led by an individual state, CDC should support the investigation in coordination with the lead agency.</w:t>
      </w:r>
    </w:p>
    <w:p w14:paraId="09702C2A" w14:textId="6F43118C" w:rsidR="003629CA" w:rsidRPr="003629CA" w:rsidRDefault="00753B99" w:rsidP="00E126CD">
      <w:pPr>
        <w:pStyle w:val="ListParagraph"/>
        <w:numPr>
          <w:ilvl w:val="0"/>
          <w:numId w:val="74"/>
        </w:numPr>
        <w:ind w:left="360"/>
      </w:pPr>
      <w:r>
        <w:t>Investigations of the “food contamination phase” should be coordinated within food-regulatory agencies. In addition to food regulatory agencies’ greater expertise and experience with these investigations, rules governing the collection of product manufacturing and distribution information might dictate that authorized food-regulatory agencies not share that information with outbreak investigators in other agencies.</w:t>
      </w:r>
    </w:p>
    <w:p w14:paraId="1D9666F2" w14:textId="67BB081B" w:rsidR="00B62610" w:rsidRDefault="003B0E82" w:rsidP="00B62610">
      <w:r w:rsidRPr="00E126CD">
        <w:rPr>
          <w:b/>
        </w:rPr>
        <w:t xml:space="preserve">7.4.1 </w:t>
      </w:r>
      <w:r w:rsidR="00753B99" w:rsidRPr="00E126CD">
        <w:rPr>
          <w:b/>
        </w:rPr>
        <w:t>Outbreak investigations progress through phases of activity, and leadership of the investigation should reflect the focus of the investigation at the time.</w:t>
      </w:r>
      <w:r w:rsidR="00753B99" w:rsidRPr="00753B99">
        <w:t xml:space="preserve"> </w:t>
      </w:r>
      <w:r w:rsidR="00B62610">
        <w:t>I</w:t>
      </w:r>
      <w:r w:rsidR="00B62610" w:rsidRPr="00B62610">
        <w:t xml:space="preserve">nvestigations </w:t>
      </w:r>
      <w:r w:rsidR="00B62610">
        <w:t xml:space="preserve">initiated at a local level </w:t>
      </w:r>
      <w:r w:rsidR="00B62610" w:rsidRPr="00B62610">
        <w:t>are handled in accordance with routine policies and procedures under local agency leadership unless otherwise specified by</w:t>
      </w:r>
      <w:r w:rsidR="00B62610">
        <w:t xml:space="preserve"> state procedures. The level of </w:t>
      </w:r>
      <w:r w:rsidR="00B62610" w:rsidRPr="00B62610">
        <w:t xml:space="preserve">state involvement depends on local or state protocols. </w:t>
      </w:r>
    </w:p>
    <w:p w14:paraId="6A0382F5" w14:textId="1F5B92FB" w:rsidR="00742119" w:rsidRDefault="00742119" w:rsidP="00B62610">
      <w:r w:rsidRPr="00742119">
        <w:t>During investigation</w:t>
      </w:r>
      <w:r>
        <w:t xml:space="preserve">s that </w:t>
      </w:r>
      <w:r w:rsidR="00E73CEB" w:rsidRPr="00E73CEB">
        <w:t>require active participation from multiple local agencies</w:t>
      </w:r>
      <w:r w:rsidR="00E73CEB">
        <w:t xml:space="preserve"> and state agencies</w:t>
      </w:r>
      <w:r w:rsidR="00E73CEB" w:rsidRPr="00E73CEB">
        <w:t xml:space="preserve">, </w:t>
      </w:r>
      <w:r w:rsidRPr="00742119">
        <w:t>a state agency needs to coordinate among the epidemiology, environmental health, and laboratory components of the investigation at the state level and ensure that state epidemiology, environmental health, and laboratory programs are communicating and coordinating activities with counterparts at the local and federal levels.</w:t>
      </w:r>
      <w:r w:rsidR="00753B99" w:rsidRPr="00753B99">
        <w:t xml:space="preserve"> Typically, epidemiologic efforts to characterize the outbreak by person, place, and time dominate the early stages of an investigation. Efforts to identify the mode of transmission and food vehicle begin to incorporate environmental health specialists and food regulators. Determining contributing factors and environmental antecedents, conducting regulatory trace-backs, and implementing control measures move the investigation into the food-regulatory realm. Transition of leadership within the outbreak control team should be planned in advance by consensus and communicated to the entire team.</w:t>
      </w:r>
    </w:p>
    <w:p w14:paraId="6FEAA069" w14:textId="1C08C7F8" w:rsidR="00B62610" w:rsidRPr="00B62610" w:rsidRDefault="005F4250" w:rsidP="00B62610">
      <w:r w:rsidRPr="005F4250">
        <w:t>During investigation</w:t>
      </w:r>
      <w:r>
        <w:t>s of national significance</w:t>
      </w:r>
      <w:r w:rsidRPr="005F4250">
        <w:t>, federal agencies need to coordinate the epidemiology, environmental health, and laboratory components of the investigation at the federal level and ensure that federal epidemiology, environmental health, and laboratory programs are communicating and coordinating activities with their counterparts at the state and local levels.</w:t>
      </w:r>
    </w:p>
    <w:p w14:paraId="76745BEF" w14:textId="61986C98" w:rsidR="003B0E82" w:rsidRPr="00D30388" w:rsidRDefault="003B0E82" w:rsidP="003B0E82">
      <w:pPr>
        <w:rPr>
          <w:b/>
        </w:rPr>
      </w:pPr>
      <w:r>
        <w:rPr>
          <w:b/>
        </w:rPr>
        <w:t>7.4.2 Communication and coordination</w:t>
      </w:r>
      <w:r w:rsidR="00B62610" w:rsidRPr="00B62610">
        <w:t xml:space="preserve"> </w:t>
      </w:r>
      <w:r w:rsidR="00D30388" w:rsidRPr="00D30388">
        <w:rPr>
          <w:b/>
        </w:rPr>
        <w:t>plans should reflect the focus of the investigation at the time.</w:t>
      </w:r>
      <w:r w:rsidR="00D30388">
        <w:rPr>
          <w:b/>
        </w:rPr>
        <w:t xml:space="preserve"> </w:t>
      </w:r>
      <w:r w:rsidR="00B62610">
        <w:t>I</w:t>
      </w:r>
      <w:r w:rsidR="00B62610" w:rsidRPr="00B62610">
        <w:t xml:space="preserve">nvestigations </w:t>
      </w:r>
      <w:r w:rsidR="00B62610">
        <w:t xml:space="preserve">initiated at a local level </w:t>
      </w:r>
      <w:r w:rsidR="00B62610" w:rsidRPr="00B62610">
        <w:t xml:space="preserve">require information sharing and </w:t>
      </w:r>
      <w:r w:rsidR="00B62610" w:rsidRPr="00B62610">
        <w:lastRenderedPageBreak/>
        <w:t>coordination among multiple local agencies under local agency leadership unless otherwise specified by state procedures. The state receives information and provides consultation.</w:t>
      </w:r>
    </w:p>
    <w:p w14:paraId="6D032925" w14:textId="3F9CFBBB" w:rsidR="00B62610" w:rsidRDefault="00742119" w:rsidP="00B62610">
      <w:r>
        <w:t>When t</w:t>
      </w:r>
      <w:r w:rsidR="00B62610">
        <w:t>he resources of one or more local jurisdictions cannot adequately respond to eve</w:t>
      </w:r>
      <w:r>
        <w:t>nts following routine procedures,</w:t>
      </w:r>
      <w:r w:rsidR="00B62610">
        <w:t xml:space="preserve"> </w:t>
      </w:r>
      <w:r>
        <w:t>t</w:t>
      </w:r>
      <w:r w:rsidR="00B62610">
        <w:t xml:space="preserve">he state </w:t>
      </w:r>
      <w:r w:rsidR="00E73CEB">
        <w:t>should provide</w:t>
      </w:r>
      <w:r w:rsidR="00B62610">
        <w:t xml:space="preserve"> response coordination, consultation, and information sharing. On the basis of established procedures, emergency management systems might be activated at the local level or possibly state level. Federal agencies are notified and involved depending on product type and distribution.</w:t>
      </w:r>
    </w:p>
    <w:p w14:paraId="23AFB4AC" w14:textId="59D8D3AA" w:rsidR="0064702D" w:rsidRDefault="00B62610" w:rsidP="008C09F2">
      <w:r>
        <w:t xml:space="preserve">Multistate outbreaks and outbreaks associated with regionally or nationally distributed food products involve a transition from state to national significance. These outbreaks might require regional or national resources. Although they require active participation from multiple local agencies and state response coordination, consultation, and information sharing, they also may require federal agency leadership, depending on the capabilities and willingness of the states involved. </w:t>
      </w:r>
    </w:p>
    <w:p w14:paraId="0645F3A0" w14:textId="3B4C27FB" w:rsidR="0061320A" w:rsidRDefault="008C09F2" w:rsidP="00552A8B">
      <w:r>
        <w:t>Sharing of information between public health and food-regulatory agencies is critical to the effectiveness of multijurisdictional investigations. Ensuring the facilitation of rapid and open information sharing can greatly enhance the efficiency and effectiveness of multijurisdictional investigations. Because these activities build on each other, establishing information-sharing protocols during the earliest stages of the investigation is critical. State, local, and federal public health officials should ensure that their agencies have the legal authorities needed to share information and that their professional staff understand those authorities. Unless state and local public health officials have been commissioned to receive confidential information from FDA, they might need to work directly with the establishment implicated in the outbreak to obtain those data (see Chapter</w:t>
      </w:r>
      <w:r w:rsidR="0064702D">
        <w:t>s</w:t>
      </w:r>
      <w:r>
        <w:t xml:space="preserve"> </w:t>
      </w:r>
      <w:r w:rsidR="00E126CD">
        <w:t>2,</w:t>
      </w:r>
      <w:r w:rsidR="0064702D">
        <w:t xml:space="preserve"> and </w:t>
      </w:r>
      <w:r w:rsidR="00E126CD">
        <w:t>3</w:t>
      </w:r>
      <w:r>
        <w:t xml:space="preserve">). FDA’s Office of Partnerships has a commissioning and credentialing program that enables the sharing of commercial confidential information to Commissioned Officials and/ or signatories of Confidentiality Agreements (if you want to become a Commissioned Official or if your state can sign a 20.88 Confidentiality Agreement, see </w:t>
      </w:r>
      <w:hyperlink r:id="rId14" w:history="1">
        <w:r w:rsidR="0061320A" w:rsidRPr="007A44A4">
          <w:rPr>
            <w:rStyle w:val="Hyperlink"/>
          </w:rPr>
          <w:t>www.fda.gov/ForFederalStateandLocalOfficials/CommunicationbetweenFDAStateLocaland Officials/Commissioning/default.htm</w:t>
        </w:r>
      </w:hyperlink>
      <w:r w:rsidR="0061320A">
        <w:t>).</w:t>
      </w:r>
    </w:p>
    <w:p w14:paraId="40FF6543" w14:textId="05557DC2" w:rsidR="00552A8B" w:rsidRDefault="00552A8B" w:rsidP="00552A8B">
      <w:r>
        <w:t>Identifying the source of a multijurisdictional outbreak is a collaborative process among local, state, and federal agencies and industry. Individual food companies and trade associations should be engaged early on to help with the investigation. Industry collaborators might be able to provide important information about food-product identities, formulations, and distribution patterns that can improve hypothesis generation and assist in investigational trace-back efforts to aid hypothesis testing. Early engagement of industry also can facilitate control measures by enabling affected industries to implement orderly product withdrawal or recall procedures.</w:t>
      </w:r>
    </w:p>
    <w:p w14:paraId="18BC8B79" w14:textId="70AF0C77" w:rsidR="00552A8B" w:rsidRDefault="00552A8B" w:rsidP="00552A8B">
      <w:r>
        <w:t xml:space="preserve">Releasing public information about the outbreak should be coordinated with the lead investigating agency when feasible. Although the public and news media are not aware of </w:t>
      </w:r>
      <w:r>
        <w:lastRenderedPageBreak/>
        <w:t>most outbreak investigations, the results of investigations are public information. In addition, responding to media attention is important to address public concerns about the outbreak. Although individual agencies participating in the investigation might be obligated to respond to media inquiries, a coordinated communications plan can help provide a consistent, unified message about the progress of the investigation, the source of the outbreak, or any prevention activities that the public can do to protect itself.</w:t>
      </w:r>
    </w:p>
    <w:p w14:paraId="12F68E7E" w14:textId="143F5D6D" w:rsidR="00552A8B" w:rsidRDefault="00552A8B" w:rsidP="00552A8B">
      <w:r>
        <w:t>Coordinating communications with the media is particularly important when media attention is needed for public action to avoid exposure to a specific contamination source, such as a recalled food product.</w:t>
      </w:r>
    </w:p>
    <w:p w14:paraId="3BC8F804" w14:textId="01BB045E" w:rsidR="00F96272" w:rsidRPr="001216CC" w:rsidRDefault="003B0E82" w:rsidP="001216CC">
      <w:r>
        <w:rPr>
          <w:b/>
        </w:rPr>
        <w:t xml:space="preserve">7.4.3 Use standardized data collection forms and </w:t>
      </w:r>
      <w:r w:rsidR="00D30388">
        <w:rPr>
          <w:b/>
        </w:rPr>
        <w:t xml:space="preserve">centralize </w:t>
      </w:r>
      <w:r>
        <w:rPr>
          <w:b/>
        </w:rPr>
        <w:t>compilation of data from case interviews</w:t>
      </w:r>
      <w:r w:rsidR="00D30388">
        <w:rPr>
          <w:b/>
        </w:rPr>
        <w:t xml:space="preserve">. </w:t>
      </w:r>
      <w:r w:rsidR="00F96272">
        <w:t>While the National Hypothesis Generating Questionnaire (NHGQ) may be used to collect information on a broad range of food and non-food exposures (</w:t>
      </w:r>
      <w:hyperlink r:id="rId15" w:history="1">
        <w:r w:rsidR="00F96272" w:rsidRPr="00480870">
          <w:rPr>
            <w:rStyle w:val="Hyperlink"/>
          </w:rPr>
          <w:t>http://cifor.us/downloads/clearinghouse/NHGQ_v2_OMB0920_0997.pdf</w:t>
        </w:r>
      </w:hyperlink>
      <w:r w:rsidR="00F96272">
        <w:t>) during the early stages of an outbreak investigation (see, Chapter 5)</w:t>
      </w:r>
      <w:r w:rsidR="00F33CAA">
        <w:t>.</w:t>
      </w:r>
      <w:r w:rsidR="00F96272">
        <w:t xml:space="preserve"> </w:t>
      </w:r>
      <w:r w:rsidR="00F33CAA">
        <w:t xml:space="preserve">As </w:t>
      </w:r>
      <w:r w:rsidR="00F96272">
        <w:t xml:space="preserve">hypotheses develop and are refined, an outbreak-specific questionnaire may be developed to systematically collect data from the various states or local jurisdictions contributing to the investigation. </w:t>
      </w:r>
      <w:r w:rsidR="004B24EB">
        <w:t>C</w:t>
      </w:r>
      <w:r w:rsidR="00F96272">
        <w:t>ollecting detailed information on both the food item and its source as early in the process as possible</w:t>
      </w:r>
      <w:r w:rsidR="00F96272" w:rsidRPr="00F96272">
        <w:t xml:space="preserve"> </w:t>
      </w:r>
      <w:r w:rsidR="00F96272">
        <w:t>is a key to identifying the source of an outbreak</w:t>
      </w:r>
      <w:r w:rsidR="004B24EB">
        <w:t>. Thus,</w:t>
      </w:r>
      <w:r w:rsidR="00F96272">
        <w:t xml:space="preserve"> ensuring that all agencies participating in the investigation are using the same </w:t>
      </w:r>
      <w:r w:rsidR="00F96272" w:rsidRPr="00F96272">
        <w:t>outbreak-specific questionnaire</w:t>
      </w:r>
      <w:r w:rsidR="00F96272">
        <w:t xml:space="preserve"> is important.</w:t>
      </w:r>
      <w:r w:rsidR="00D30388">
        <w:t xml:space="preserve"> </w:t>
      </w:r>
      <w:r w:rsidR="004B24EB">
        <w:t>In addition</w:t>
      </w:r>
      <w:r w:rsidR="001216CC">
        <w:t>, i</w:t>
      </w:r>
      <w:r w:rsidR="001216CC" w:rsidRPr="001216CC">
        <w:t>f sufficient staff are not available</w:t>
      </w:r>
      <w:r w:rsidR="001216CC">
        <w:t xml:space="preserve"> to rapidly conduct interviews</w:t>
      </w:r>
      <w:r w:rsidR="001216CC" w:rsidRPr="001216CC">
        <w:t xml:space="preserve">, </w:t>
      </w:r>
      <w:r w:rsidR="001216CC">
        <w:t xml:space="preserve">agencies should </w:t>
      </w:r>
      <w:r w:rsidR="001216CC" w:rsidRPr="001216CC">
        <w:t>request external assistance to conduct interviews</w:t>
      </w:r>
      <w:r w:rsidR="001216CC">
        <w:t xml:space="preserve">. </w:t>
      </w:r>
      <w:r w:rsidR="001216CC" w:rsidDel="001216CC">
        <w:t xml:space="preserve"> </w:t>
      </w:r>
      <w:r w:rsidR="00D30388">
        <w:t xml:space="preserve">Compiling data from case interviews in a central location where they can be reviewed in aggregate will facilitate recognition of </w:t>
      </w:r>
      <w:r w:rsidR="00CD2AA9">
        <w:t>suspect food items, particularly, when a novel food item may be involve</w:t>
      </w:r>
      <w:r w:rsidR="001216CC">
        <w:t xml:space="preserve">d.  </w:t>
      </w:r>
    </w:p>
    <w:p w14:paraId="6BBF96EA" w14:textId="397688DB" w:rsidR="00CD2AA9" w:rsidRDefault="00CD2AA9" w:rsidP="003B0E82">
      <w:r>
        <w:rPr>
          <w:b/>
        </w:rPr>
        <w:t>7.4.4 Coordinate epidemiologic tracebacks to identify suspect vehicles and guide</w:t>
      </w:r>
      <w:r w:rsidR="003B0E82">
        <w:rPr>
          <w:b/>
        </w:rPr>
        <w:t xml:space="preserve"> sampling activities</w:t>
      </w:r>
      <w:r>
        <w:rPr>
          <w:b/>
        </w:rPr>
        <w:t xml:space="preserve">. </w:t>
      </w:r>
      <w:r w:rsidR="00792B1D">
        <w:t>As noted in Chapter 5, t</w:t>
      </w:r>
      <w:r w:rsidR="00696BDE" w:rsidRPr="00696BDE">
        <w:t xml:space="preserve">racing the source of food items or ingredients through distribution to source of production can be critical to identifying epidemiologic links among cases or ruling them out. </w:t>
      </w:r>
    </w:p>
    <w:p w14:paraId="5872D630" w14:textId="691DF8B5" w:rsidR="00BE378D" w:rsidRPr="004B24EB" w:rsidRDefault="00792B1D" w:rsidP="004B24EB">
      <w:r>
        <w:t>Multijurisdictional investigations increase the importance of product tracing because of the ability to triangulate between multiple distribution pathways that may link geographically dispersed cases.  Thus, coordinating traceback investigations across the outbreak should be prioritized</w:t>
      </w:r>
      <w:r w:rsidR="00CD2AA9">
        <w:t>. T</w:t>
      </w:r>
      <w:r>
        <w:t xml:space="preserve">he </w:t>
      </w:r>
      <w:r w:rsidRPr="00792B1D">
        <w:t xml:space="preserve">coordinating office (or individual) for </w:t>
      </w:r>
      <w:r>
        <w:t>traceback</w:t>
      </w:r>
      <w:r w:rsidRPr="00792B1D">
        <w:t xml:space="preserve"> investigations should be empowered to prioritize collection, organization, and dissemination of </w:t>
      </w:r>
      <w:r>
        <w:t xml:space="preserve">traceback data </w:t>
      </w:r>
      <w:r w:rsidR="00696BDE" w:rsidRPr="00696BDE">
        <w:t xml:space="preserve">to see if it converges on a common source or supplier.  </w:t>
      </w:r>
      <w:r w:rsidR="004B24EB">
        <w:t xml:space="preserve">Because </w:t>
      </w:r>
      <w:r w:rsidR="00B62F71">
        <w:t>this information</w:t>
      </w:r>
      <w:r w:rsidR="004B24EB" w:rsidRPr="004B24EB">
        <w:t xml:space="preserve"> can be critical to identifying epidemiologic links</w:t>
      </w:r>
      <w:bookmarkStart w:id="0" w:name="_GoBack"/>
      <w:bookmarkEnd w:id="0"/>
      <w:r w:rsidR="004B24EB">
        <w:t xml:space="preserve">, </w:t>
      </w:r>
      <w:r w:rsidR="00B62F71">
        <w:t xml:space="preserve">results should be shared with epidemiologists as they develop. This will allow </w:t>
      </w:r>
      <w:r w:rsidR="004B24EB" w:rsidRPr="004B24EB">
        <w:t>epi</w:t>
      </w:r>
      <w:r w:rsidR="00B62F71">
        <w:t>demiologists to</w:t>
      </w:r>
      <w:r w:rsidR="004B24EB" w:rsidRPr="004B24EB">
        <w:t xml:space="preserve"> have meaning</w:t>
      </w:r>
      <w:r w:rsidR="00B62F71">
        <w:t>ful input in exposure selection and</w:t>
      </w:r>
      <w:r w:rsidR="004B24EB" w:rsidRPr="004B24EB">
        <w:t xml:space="preserve"> interpretation </w:t>
      </w:r>
      <w:r w:rsidR="00B62F71">
        <w:t>to help guide</w:t>
      </w:r>
      <w:r w:rsidR="004B24EB" w:rsidRPr="004B24EB">
        <w:t xml:space="preserve"> future directions</w:t>
      </w:r>
      <w:r w:rsidR="00B62F71">
        <w:t xml:space="preserve"> for the investigation </w:t>
      </w:r>
      <w:r w:rsidR="004B24EB">
        <w:t>(see Smith Whitepaper).</w:t>
      </w:r>
    </w:p>
    <w:p w14:paraId="3808B9E8" w14:textId="7C658226" w:rsidR="00696BDE" w:rsidRPr="00696BDE" w:rsidRDefault="00BE378D" w:rsidP="003B0E82">
      <w:r>
        <w:t>Identification of</w:t>
      </w:r>
      <w:r w:rsidR="00696BDE" w:rsidRPr="00696BDE">
        <w:t xml:space="preserve"> a common source or supplier</w:t>
      </w:r>
      <w:r>
        <w:t xml:space="preserve"> can facilitate sampling activities to confirm contamination of the product, and the potential source of the contamination.  </w:t>
      </w:r>
    </w:p>
    <w:p w14:paraId="252C1F53" w14:textId="621A4737" w:rsidR="00EC44EE" w:rsidRPr="00323B4D" w:rsidRDefault="00EC44EE" w:rsidP="003B0E82">
      <w:pPr>
        <w:rPr>
          <w:b/>
          <w:sz w:val="28"/>
          <w:szCs w:val="28"/>
        </w:rPr>
      </w:pPr>
      <w:r w:rsidRPr="00323B4D">
        <w:rPr>
          <w:b/>
          <w:sz w:val="28"/>
          <w:szCs w:val="28"/>
        </w:rPr>
        <w:lastRenderedPageBreak/>
        <w:t xml:space="preserve">7.5 Multijurisdictional outbreak investigation </w:t>
      </w:r>
      <w:r w:rsidR="00BE7EEF" w:rsidRPr="00323B4D">
        <w:rPr>
          <w:b/>
          <w:sz w:val="28"/>
          <w:szCs w:val="28"/>
        </w:rPr>
        <w:t>after</w:t>
      </w:r>
      <w:r w:rsidR="00BE7EEF">
        <w:rPr>
          <w:b/>
          <w:sz w:val="28"/>
          <w:szCs w:val="28"/>
        </w:rPr>
        <w:t>-</w:t>
      </w:r>
      <w:r w:rsidRPr="00323B4D">
        <w:rPr>
          <w:b/>
          <w:sz w:val="28"/>
          <w:szCs w:val="28"/>
        </w:rPr>
        <w:t>action reports and reporting to NORS</w:t>
      </w:r>
    </w:p>
    <w:p w14:paraId="347D8652" w14:textId="77777777" w:rsidR="00C809B2" w:rsidRDefault="002F67CA" w:rsidP="002F67CA">
      <w:r w:rsidRPr="002F67CA">
        <w:t>The lead agency(ies) coordinating the investigation should hold a conference call 1–3 months after the initial investigation ends to review lessons learned and to update participants about findings, conclusions, and actions taken</w:t>
      </w:r>
      <w:r>
        <w:t xml:space="preserve"> (see Chapter 6)</w:t>
      </w:r>
      <w:r w:rsidRPr="002F67CA">
        <w:t xml:space="preserve">. </w:t>
      </w:r>
      <w:r>
        <w:t>A</w:t>
      </w:r>
      <w:r w:rsidRPr="002F67CA">
        <w:t xml:space="preserve">fter the conference call </w:t>
      </w:r>
      <w:r>
        <w:t>t</w:t>
      </w:r>
      <w:r w:rsidRPr="002F67CA">
        <w:t>he</w:t>
      </w:r>
      <w:r>
        <w:t>y</w:t>
      </w:r>
      <w:r w:rsidRPr="002F67CA">
        <w:t xml:space="preserve"> should prepare an after-action report</w:t>
      </w:r>
      <w:r w:rsidR="00C809B2">
        <w:t xml:space="preserve"> to </w:t>
      </w:r>
      <w:r w:rsidRPr="002F67CA">
        <w:t xml:space="preserve">summarize the effectiveness of communication and coordination among jurisdictions and identify specific gaps or problems that arose during the investigation. </w:t>
      </w:r>
    </w:p>
    <w:p w14:paraId="52985E49" w14:textId="12B8F3C5" w:rsidR="002F67CA" w:rsidRDefault="002F67CA" w:rsidP="002F67CA">
      <w:r>
        <w:t xml:space="preserve">All participating agencies should have the opportunity to review and comment on the report before it is more widely distributed. The lead agency(ies) should review after-action reports periodically to determine whether common problems in investigation or response are </w:t>
      </w:r>
      <w:r w:rsidR="00BE7EEF">
        <w:t>re</w:t>
      </w:r>
      <w:r>
        <w:t>ccurring over time; this can help with an agency’s quality improvement efforts.</w:t>
      </w:r>
    </w:p>
    <w:p w14:paraId="72F9D3C4" w14:textId="497F9D6D" w:rsidR="002F67CA" w:rsidRPr="00DD7F22" w:rsidRDefault="002F67CA" w:rsidP="002F67CA">
      <w:pPr>
        <w:sectPr w:rsidR="002F67CA" w:rsidRPr="00DD7F22" w:rsidSect="00391340">
          <w:pgSz w:w="10080" w:h="14900"/>
          <w:pgMar w:top="290" w:right="900" w:bottom="1400" w:left="900" w:header="720" w:footer="720" w:gutter="0"/>
          <w:cols w:space="720"/>
          <w:noEndnote/>
          <w:docGrid w:linePitch="299"/>
        </w:sectPr>
      </w:pPr>
      <w:r>
        <w:t>All multijurisdictional investigations should be reported by individual states to NORS. The multijurisdictional nature of the investigation should be indicated by completion of appropriate data fields in the NORS report form. Individual state reports will be consolidated by CDC as part of a multistate outbreak report. In addition, FDA and USDA-FSIS write a summary report of each investigation</w:t>
      </w:r>
      <w:r w:rsidR="00BE7EEF">
        <w:t xml:space="preserve"> in which they were part</w:t>
      </w:r>
      <w:r>
        <w:t>.</w:t>
      </w:r>
    </w:p>
    <w:p w14:paraId="6D9592B5" w14:textId="7F024F64" w:rsidR="000B7DBD" w:rsidRDefault="000B7DBD" w:rsidP="000B7DBD">
      <w:pPr>
        <w:jc w:val="both"/>
        <w:rPr>
          <w:b/>
        </w:rPr>
      </w:pPr>
      <w:r>
        <w:rPr>
          <w:b/>
        </w:rPr>
        <w:lastRenderedPageBreak/>
        <w:t>Table 7.3</w:t>
      </w:r>
      <w:r w:rsidRPr="000B7DBD">
        <w:rPr>
          <w:b/>
        </w:rPr>
        <w:t>.</w:t>
      </w:r>
      <w:r>
        <w:rPr>
          <w:b/>
        </w:rPr>
        <w:t xml:space="preserve"> </w:t>
      </w:r>
      <w:r w:rsidR="00A87F63">
        <w:rPr>
          <w:b/>
        </w:rPr>
        <w:t>Multijurisdictional o</w:t>
      </w:r>
      <w:r w:rsidR="00F34DFB">
        <w:rPr>
          <w:b/>
        </w:rPr>
        <w:t xml:space="preserve">utbreak identification methods and required notification steps, by agency </w:t>
      </w:r>
      <w:r w:rsidR="00C52E97">
        <w:rPr>
          <w:b/>
        </w:rPr>
        <w:t>level</w:t>
      </w:r>
    </w:p>
    <w:tbl>
      <w:tblPr>
        <w:tblStyle w:val="TableGrid"/>
        <w:tblW w:w="13225" w:type="dxa"/>
        <w:tblLook w:val="04A0" w:firstRow="1" w:lastRow="0" w:firstColumn="1" w:lastColumn="0" w:noHBand="0" w:noVBand="1"/>
      </w:tblPr>
      <w:tblGrid>
        <w:gridCol w:w="7195"/>
        <w:gridCol w:w="6030"/>
      </w:tblGrid>
      <w:tr w:rsidR="00983F01" w14:paraId="282C1D67" w14:textId="77777777" w:rsidTr="00BE2E13">
        <w:tc>
          <w:tcPr>
            <w:tcW w:w="7195" w:type="dxa"/>
          </w:tcPr>
          <w:p w14:paraId="422B88EA" w14:textId="027F17A3" w:rsidR="00983F01" w:rsidRDefault="00983F01" w:rsidP="00F34DFB">
            <w:pPr>
              <w:rPr>
                <w:b/>
              </w:rPr>
            </w:pPr>
            <w:r>
              <w:rPr>
                <w:b/>
              </w:rPr>
              <w:t xml:space="preserve">Outbreak </w:t>
            </w:r>
            <w:r w:rsidR="00F34DFB">
              <w:rPr>
                <w:b/>
              </w:rPr>
              <w:t>Identification Method</w:t>
            </w:r>
          </w:p>
        </w:tc>
        <w:tc>
          <w:tcPr>
            <w:tcW w:w="6030" w:type="dxa"/>
          </w:tcPr>
          <w:p w14:paraId="1B3054A6" w14:textId="62439D91" w:rsidR="00983F01" w:rsidRDefault="00F34DFB">
            <w:pPr>
              <w:rPr>
                <w:b/>
              </w:rPr>
            </w:pPr>
            <w:r>
              <w:rPr>
                <w:b/>
              </w:rPr>
              <w:t>Required Notification</w:t>
            </w:r>
            <w:r w:rsidR="00983F01">
              <w:rPr>
                <w:b/>
              </w:rPr>
              <w:t xml:space="preserve"> Steps</w:t>
            </w:r>
          </w:p>
        </w:tc>
      </w:tr>
      <w:tr w:rsidR="00983F01" w14:paraId="426B7D1E" w14:textId="77777777" w:rsidTr="00C52E97">
        <w:tc>
          <w:tcPr>
            <w:tcW w:w="13225" w:type="dxa"/>
            <w:gridSpan w:val="2"/>
            <w:shd w:val="clear" w:color="auto" w:fill="E7E6E6" w:themeFill="background2"/>
          </w:tcPr>
          <w:p w14:paraId="18319D47" w14:textId="4D7A5E51" w:rsidR="00983F01" w:rsidRPr="00F34DFB" w:rsidRDefault="00F34DFB" w:rsidP="004F11C6">
            <w:pPr>
              <w:rPr>
                <w:b/>
              </w:rPr>
            </w:pPr>
            <w:r w:rsidRPr="00F34DFB">
              <w:rPr>
                <w:b/>
              </w:rPr>
              <w:t xml:space="preserve">Local level </w:t>
            </w:r>
          </w:p>
        </w:tc>
      </w:tr>
      <w:tr w:rsidR="00983F01" w14:paraId="07A4FE7F" w14:textId="77777777" w:rsidTr="00BE2E13">
        <w:tc>
          <w:tcPr>
            <w:tcW w:w="7195" w:type="dxa"/>
            <w:shd w:val="clear" w:color="auto" w:fill="auto"/>
          </w:tcPr>
          <w:p w14:paraId="36F93D9C" w14:textId="6FDDDFEB" w:rsidR="00983F01" w:rsidRPr="004F11C6" w:rsidRDefault="00983F01" w:rsidP="008B36C5">
            <w:pPr>
              <w:pStyle w:val="ListParagraph"/>
              <w:numPr>
                <w:ilvl w:val="0"/>
                <w:numId w:val="67"/>
              </w:numPr>
              <w:ind w:left="150" w:hanging="180"/>
            </w:pPr>
            <w:r w:rsidRPr="0080760D">
              <w:t xml:space="preserve">Common-source outbreak identified </w:t>
            </w:r>
            <w:r w:rsidR="008B36C5">
              <w:t>with</w:t>
            </w:r>
            <w:r w:rsidRPr="0080760D">
              <w:t xml:space="preserve"> cases among persons who reside in </w:t>
            </w:r>
            <w:r w:rsidR="00931332">
              <w:t>other</w:t>
            </w:r>
            <w:r w:rsidRPr="0080760D">
              <w:t xml:space="preserve"> local jurisdictions.</w:t>
            </w:r>
          </w:p>
        </w:tc>
        <w:tc>
          <w:tcPr>
            <w:tcW w:w="6030" w:type="dxa"/>
            <w:shd w:val="clear" w:color="auto" w:fill="auto"/>
          </w:tcPr>
          <w:p w14:paraId="12BD6A55" w14:textId="14B4AC31" w:rsidR="00983F01" w:rsidRPr="004F11C6" w:rsidRDefault="00931332" w:rsidP="00931332">
            <w:pPr>
              <w:pStyle w:val="ListParagraph"/>
              <w:numPr>
                <w:ilvl w:val="0"/>
                <w:numId w:val="67"/>
              </w:numPr>
              <w:ind w:left="166" w:hanging="180"/>
            </w:pPr>
            <w:r w:rsidRPr="00931332">
              <w:rPr>
                <w:b/>
              </w:rPr>
              <w:t xml:space="preserve">Notify </w:t>
            </w:r>
            <w:r w:rsidRPr="00931332">
              <w:t xml:space="preserve">affected </w:t>
            </w:r>
            <w:r>
              <w:t>jurisdictions</w:t>
            </w:r>
            <w:r w:rsidRPr="00931332">
              <w:t xml:space="preserve"> to r</w:t>
            </w:r>
            <w:r w:rsidR="00983F01" w:rsidRPr="00931332">
              <w:t>equest</w:t>
            </w:r>
            <w:r w:rsidR="00983F01" w:rsidRPr="0080760D">
              <w:t xml:space="preserve"> assistance to contact and interview cases in other jurisdictions.</w:t>
            </w:r>
          </w:p>
        </w:tc>
      </w:tr>
      <w:tr w:rsidR="005D6660" w:rsidRPr="00FC0441" w14:paraId="43F9F17B" w14:textId="77777777" w:rsidTr="00BE2E13">
        <w:tc>
          <w:tcPr>
            <w:tcW w:w="7195" w:type="dxa"/>
            <w:shd w:val="clear" w:color="auto" w:fill="auto"/>
          </w:tcPr>
          <w:p w14:paraId="56620438" w14:textId="619B7C2F" w:rsidR="005D6660" w:rsidRPr="00FC0441" w:rsidRDefault="00F34DFB" w:rsidP="008B36C5">
            <w:pPr>
              <w:pStyle w:val="ListParagraph"/>
              <w:numPr>
                <w:ilvl w:val="0"/>
                <w:numId w:val="66"/>
              </w:numPr>
              <w:ind w:left="150" w:hanging="180"/>
            </w:pPr>
            <w:r w:rsidRPr="00F34DFB">
              <w:t xml:space="preserve">Common-source outbreak identified </w:t>
            </w:r>
            <w:r w:rsidR="005D6660">
              <w:t xml:space="preserve">with exposures </w:t>
            </w:r>
            <w:r w:rsidR="005D6660" w:rsidRPr="00FC0441">
              <w:t>in another jurisdiction.</w:t>
            </w:r>
          </w:p>
        </w:tc>
        <w:tc>
          <w:tcPr>
            <w:tcW w:w="6030" w:type="dxa"/>
            <w:shd w:val="clear" w:color="auto" w:fill="auto"/>
          </w:tcPr>
          <w:p w14:paraId="0948ABF8" w14:textId="77777777" w:rsidR="005D6660" w:rsidRPr="00FC0441" w:rsidRDefault="005D6660" w:rsidP="000B433B">
            <w:pPr>
              <w:pStyle w:val="ListParagraph"/>
              <w:numPr>
                <w:ilvl w:val="0"/>
                <w:numId w:val="67"/>
              </w:numPr>
              <w:ind w:left="166" w:hanging="180"/>
            </w:pPr>
            <w:r w:rsidRPr="00FC0441">
              <w:rPr>
                <w:b/>
              </w:rPr>
              <w:t xml:space="preserve">Notify </w:t>
            </w:r>
            <w:r w:rsidRPr="00FC0441">
              <w:t>the affected jurisdiction immediately.</w:t>
            </w:r>
          </w:p>
        </w:tc>
      </w:tr>
      <w:tr w:rsidR="00F34DFB" w:rsidRPr="00FC0441" w14:paraId="1CEF3DCC" w14:textId="77777777" w:rsidTr="00BE2E13">
        <w:tc>
          <w:tcPr>
            <w:tcW w:w="7195" w:type="dxa"/>
            <w:shd w:val="clear" w:color="auto" w:fill="auto"/>
          </w:tcPr>
          <w:p w14:paraId="001C8DB7" w14:textId="77777777" w:rsidR="008B36C5" w:rsidRDefault="00F34DFB" w:rsidP="00F34DFB">
            <w:pPr>
              <w:pStyle w:val="ListParagraph"/>
              <w:numPr>
                <w:ilvl w:val="0"/>
                <w:numId w:val="66"/>
              </w:numPr>
              <w:ind w:left="150" w:hanging="180"/>
            </w:pPr>
            <w:r w:rsidRPr="0080760D">
              <w:t xml:space="preserve">Common-source outbreak identified in one jurisdiction, investigation implicates food </w:t>
            </w:r>
            <w:r>
              <w:t>item</w:t>
            </w:r>
            <w:r w:rsidRPr="0080760D">
              <w:t xml:space="preserve"> contamina</w:t>
            </w:r>
            <w:r>
              <w:t>ted before the point of service.</w:t>
            </w:r>
            <w:r w:rsidRPr="0080760D">
              <w:t xml:space="preserve"> </w:t>
            </w:r>
          </w:p>
          <w:p w14:paraId="342F7AD3" w14:textId="2DF10F54" w:rsidR="00F34DFB" w:rsidRPr="00FC0441" w:rsidRDefault="00C306BE" w:rsidP="00C306BE">
            <w:pPr>
              <w:pStyle w:val="ListParagraph"/>
              <w:numPr>
                <w:ilvl w:val="0"/>
                <w:numId w:val="66"/>
              </w:numPr>
              <w:ind w:left="150" w:hanging="180"/>
            </w:pPr>
            <w:r>
              <w:t>Sub-cluster of i</w:t>
            </w:r>
            <w:r w:rsidR="008B36C5" w:rsidRPr="00931332">
              <w:t>llnesses associated with restaurants or food-service establishments</w:t>
            </w:r>
            <w:r w:rsidR="00C52E97">
              <w:t>.</w:t>
            </w:r>
          </w:p>
        </w:tc>
        <w:tc>
          <w:tcPr>
            <w:tcW w:w="6030" w:type="dxa"/>
            <w:shd w:val="clear" w:color="auto" w:fill="auto"/>
          </w:tcPr>
          <w:p w14:paraId="368B9423" w14:textId="052977CE" w:rsidR="00F34DFB" w:rsidRDefault="00F34DFB" w:rsidP="00F34DFB">
            <w:pPr>
              <w:pStyle w:val="ListParagraph"/>
              <w:numPr>
                <w:ilvl w:val="0"/>
                <w:numId w:val="69"/>
              </w:numPr>
              <w:ind w:left="166" w:hanging="180"/>
            </w:pPr>
            <w:r w:rsidRPr="00C76510">
              <w:rPr>
                <w:b/>
              </w:rPr>
              <w:t>Notify</w:t>
            </w:r>
            <w:r w:rsidRPr="0080760D">
              <w:t xml:space="preserve"> </w:t>
            </w:r>
            <w:r>
              <w:t xml:space="preserve">appropriate </w:t>
            </w:r>
            <w:r w:rsidR="008854F7">
              <w:t xml:space="preserve">state and federal </w:t>
            </w:r>
            <w:r>
              <w:t>food regulatory agencies of probable contaminated food vehicle</w:t>
            </w:r>
            <w:r w:rsidR="00C306BE">
              <w:t>, or sub-cluster</w:t>
            </w:r>
            <w:r>
              <w:t>.</w:t>
            </w:r>
          </w:p>
          <w:p w14:paraId="1C87B31E" w14:textId="3F6F3883" w:rsidR="00F34DFB" w:rsidRPr="00C306BE" w:rsidRDefault="008B36C5" w:rsidP="00C306BE">
            <w:pPr>
              <w:pStyle w:val="ListParagraph"/>
              <w:numPr>
                <w:ilvl w:val="0"/>
                <w:numId w:val="69"/>
              </w:numPr>
              <w:ind w:left="166" w:hanging="180"/>
              <w:rPr>
                <w:b/>
              </w:rPr>
            </w:pPr>
            <w:r w:rsidRPr="001E5CCD">
              <w:rPr>
                <w:b/>
              </w:rPr>
              <w:t xml:space="preserve">Notify </w:t>
            </w:r>
            <w:r w:rsidRPr="001E5CCD">
              <w:t>affected cou</w:t>
            </w:r>
            <w:r w:rsidR="008854F7">
              <w:t>nty and city health departments,</w:t>
            </w:r>
            <w:r w:rsidRPr="001E5CCD">
              <w:t xml:space="preserve"> state health department</w:t>
            </w:r>
            <w:r w:rsidR="008854F7">
              <w:t>,</w:t>
            </w:r>
            <w:r w:rsidR="00285D19">
              <w:t xml:space="preserve"> and</w:t>
            </w:r>
            <w:r w:rsidR="008854F7">
              <w:t xml:space="preserve"> CDC</w:t>
            </w:r>
            <w:r w:rsidRPr="001E5CCD">
              <w:t>.</w:t>
            </w:r>
            <w:r w:rsidRPr="001E5CCD">
              <w:rPr>
                <w:b/>
              </w:rPr>
              <w:t xml:space="preserve"> </w:t>
            </w:r>
          </w:p>
        </w:tc>
      </w:tr>
      <w:tr w:rsidR="00F34DFB" w14:paraId="08110886" w14:textId="77777777" w:rsidTr="00C52E97">
        <w:tc>
          <w:tcPr>
            <w:tcW w:w="13225" w:type="dxa"/>
            <w:gridSpan w:val="2"/>
            <w:shd w:val="clear" w:color="auto" w:fill="E7E6E6" w:themeFill="background2"/>
          </w:tcPr>
          <w:p w14:paraId="3F10F197" w14:textId="7D9F02B2" w:rsidR="00F34DFB" w:rsidRPr="00931332" w:rsidRDefault="00931332" w:rsidP="00F34DFB">
            <w:pPr>
              <w:rPr>
                <w:b/>
              </w:rPr>
            </w:pPr>
            <w:r w:rsidRPr="00931332">
              <w:rPr>
                <w:b/>
              </w:rPr>
              <w:t>State level</w:t>
            </w:r>
          </w:p>
        </w:tc>
      </w:tr>
      <w:tr w:rsidR="00F34DFB" w14:paraId="1984CBBD" w14:textId="77777777" w:rsidTr="00BE2E13">
        <w:tc>
          <w:tcPr>
            <w:tcW w:w="7195" w:type="dxa"/>
          </w:tcPr>
          <w:p w14:paraId="485FB2A5" w14:textId="56C8DBDF" w:rsidR="00F34DFB" w:rsidRDefault="00C306BE" w:rsidP="00F34DFB">
            <w:pPr>
              <w:pStyle w:val="ListParagraph"/>
              <w:numPr>
                <w:ilvl w:val="0"/>
                <w:numId w:val="69"/>
              </w:numPr>
              <w:ind w:left="150" w:hanging="180"/>
            </w:pPr>
            <w:r>
              <w:t>S</w:t>
            </w:r>
            <w:r w:rsidR="00931332" w:rsidRPr="009B4C88">
              <w:t>tatewide increase of infections with common subtype characteristics identified.</w:t>
            </w:r>
          </w:p>
          <w:p w14:paraId="283024FA" w14:textId="5229DBA3" w:rsidR="00C306BE" w:rsidRDefault="00C306BE" w:rsidP="00C306BE">
            <w:pPr>
              <w:pStyle w:val="ListParagraph"/>
              <w:numPr>
                <w:ilvl w:val="0"/>
                <w:numId w:val="69"/>
              </w:numPr>
              <w:ind w:left="150" w:hanging="180"/>
            </w:pPr>
            <w:r w:rsidRPr="00C306BE">
              <w:t>Sub-clusters of illnesses associated with multiple restaurants or food-service establishments</w:t>
            </w:r>
            <w:r w:rsidR="00C52E97">
              <w:t>.</w:t>
            </w:r>
          </w:p>
          <w:p w14:paraId="1CD0EFE2" w14:textId="0310CAD8" w:rsidR="008F24C2" w:rsidRPr="004F11C6" w:rsidRDefault="008F24C2" w:rsidP="008F24C2">
            <w:pPr>
              <w:pStyle w:val="ListParagraph"/>
              <w:numPr>
                <w:ilvl w:val="0"/>
                <w:numId w:val="69"/>
              </w:numPr>
              <w:ind w:left="150" w:hanging="180"/>
            </w:pPr>
            <w:r w:rsidRPr="008F24C2">
              <w:t xml:space="preserve">Common-source outbreaks in multiple </w:t>
            </w:r>
            <w:r w:rsidR="00285D19">
              <w:t xml:space="preserve">local </w:t>
            </w:r>
            <w:r w:rsidRPr="008F24C2">
              <w:t xml:space="preserve">jurisdictions linked by common agent, food, or water.  </w:t>
            </w:r>
          </w:p>
        </w:tc>
        <w:tc>
          <w:tcPr>
            <w:tcW w:w="6030" w:type="dxa"/>
          </w:tcPr>
          <w:p w14:paraId="7E75E437" w14:textId="0C3EB845" w:rsidR="00C306BE" w:rsidRDefault="00C306BE" w:rsidP="00C306BE">
            <w:pPr>
              <w:pStyle w:val="ListParagraph"/>
              <w:numPr>
                <w:ilvl w:val="0"/>
                <w:numId w:val="69"/>
              </w:numPr>
              <w:ind w:left="166" w:hanging="180"/>
            </w:pPr>
            <w:r w:rsidRPr="00C306BE">
              <w:rPr>
                <w:b/>
              </w:rPr>
              <w:t xml:space="preserve">Notify </w:t>
            </w:r>
            <w:r w:rsidRPr="00C306BE">
              <w:t>affected county and city health departments</w:t>
            </w:r>
            <w:r w:rsidR="00285D19">
              <w:t xml:space="preserve"> and</w:t>
            </w:r>
            <w:r w:rsidRPr="00C306BE">
              <w:t xml:space="preserve"> CDC.</w:t>
            </w:r>
          </w:p>
          <w:p w14:paraId="5F3D5246" w14:textId="09415B85" w:rsidR="00C306BE" w:rsidRPr="00C306BE" w:rsidRDefault="003834AF" w:rsidP="00C306BE">
            <w:pPr>
              <w:pStyle w:val="ListParagraph"/>
              <w:numPr>
                <w:ilvl w:val="0"/>
                <w:numId w:val="69"/>
              </w:numPr>
              <w:ind w:left="166" w:hanging="180"/>
            </w:pPr>
            <w:r w:rsidRPr="00C306BE">
              <w:rPr>
                <w:b/>
              </w:rPr>
              <w:t>Notify</w:t>
            </w:r>
            <w:r w:rsidRPr="00C306BE">
              <w:t xml:space="preserve"> </w:t>
            </w:r>
            <w:r w:rsidR="00983F01" w:rsidRPr="00C306BE">
              <w:t>appropriate</w:t>
            </w:r>
            <w:r w:rsidR="00C306BE" w:rsidRPr="00C306BE">
              <w:t xml:space="preserve"> state and federal food regulatory </w:t>
            </w:r>
            <w:r w:rsidR="00983F01" w:rsidRPr="00C306BE">
              <w:t xml:space="preserve">agencies of </w:t>
            </w:r>
            <w:r w:rsidR="00C306BE" w:rsidRPr="00C306BE">
              <w:t>sub-cluster</w:t>
            </w:r>
            <w:r w:rsidR="00C306BE">
              <w:t>s</w:t>
            </w:r>
            <w:r w:rsidR="00132DD5">
              <w:t xml:space="preserve"> or linked common-source outbreaks</w:t>
            </w:r>
            <w:r w:rsidR="00C306BE" w:rsidRPr="00C306BE">
              <w:t>.</w:t>
            </w:r>
          </w:p>
          <w:p w14:paraId="168F7B95" w14:textId="2BA6DA66" w:rsidR="00F34DFB" w:rsidRPr="004F11C6" w:rsidRDefault="00F34DFB" w:rsidP="00C306BE">
            <w:pPr>
              <w:pStyle w:val="ListParagraph"/>
              <w:ind w:left="166"/>
            </w:pPr>
          </w:p>
        </w:tc>
      </w:tr>
      <w:tr w:rsidR="008F24C2" w14:paraId="1ED20FCD" w14:textId="77777777" w:rsidTr="00C52E97">
        <w:tc>
          <w:tcPr>
            <w:tcW w:w="13225" w:type="dxa"/>
            <w:gridSpan w:val="2"/>
            <w:shd w:val="clear" w:color="auto" w:fill="E7E6E6" w:themeFill="background2"/>
          </w:tcPr>
          <w:p w14:paraId="42F07C01" w14:textId="348A40BB" w:rsidR="008F24C2" w:rsidRPr="008F24C2" w:rsidRDefault="008F24C2" w:rsidP="00F34DFB">
            <w:pPr>
              <w:rPr>
                <w:b/>
              </w:rPr>
            </w:pPr>
            <w:r w:rsidRPr="008F24C2">
              <w:rPr>
                <w:b/>
              </w:rPr>
              <w:t>Federal level</w:t>
            </w:r>
          </w:p>
        </w:tc>
      </w:tr>
      <w:tr w:rsidR="00F34DFB" w14:paraId="2792668C" w14:textId="77777777" w:rsidTr="00BE2E13">
        <w:tc>
          <w:tcPr>
            <w:tcW w:w="7195" w:type="dxa"/>
          </w:tcPr>
          <w:p w14:paraId="245046E2" w14:textId="29FF0667" w:rsidR="002041B6" w:rsidRDefault="002041B6" w:rsidP="002041B6">
            <w:pPr>
              <w:pStyle w:val="ListParagraph"/>
              <w:numPr>
                <w:ilvl w:val="0"/>
                <w:numId w:val="70"/>
              </w:numPr>
              <w:ind w:left="150" w:hanging="180"/>
            </w:pPr>
            <w:r>
              <w:t>National increase of infections with common subtype characteristics identified.</w:t>
            </w:r>
          </w:p>
          <w:p w14:paraId="07FDB6E2" w14:textId="2B5DA1F1" w:rsidR="002041B6" w:rsidRDefault="002041B6" w:rsidP="002041B6">
            <w:pPr>
              <w:pStyle w:val="ListParagraph"/>
              <w:numPr>
                <w:ilvl w:val="0"/>
                <w:numId w:val="70"/>
              </w:numPr>
              <w:ind w:left="150" w:hanging="180"/>
            </w:pPr>
            <w:r>
              <w:t xml:space="preserve">Sub-clusters </w:t>
            </w:r>
            <w:r w:rsidRPr="002041B6">
              <w:t xml:space="preserve">of illnesses associated with multiple restaurants or food-service establishments </w:t>
            </w:r>
            <w:r>
              <w:t>in multiple states.</w:t>
            </w:r>
          </w:p>
          <w:p w14:paraId="26FB226D" w14:textId="15F150EE" w:rsidR="00E25430" w:rsidRPr="0080760D" w:rsidRDefault="002041B6" w:rsidP="0078074B">
            <w:pPr>
              <w:pStyle w:val="ListParagraph"/>
              <w:numPr>
                <w:ilvl w:val="0"/>
                <w:numId w:val="70"/>
              </w:numPr>
              <w:ind w:left="150" w:hanging="180"/>
            </w:pPr>
            <w:r w:rsidRPr="002041B6">
              <w:t xml:space="preserve">Common-source outbreaks in multiple states linked </w:t>
            </w:r>
            <w:r>
              <w:t>by common agent, food, or water.</w:t>
            </w:r>
          </w:p>
        </w:tc>
        <w:tc>
          <w:tcPr>
            <w:tcW w:w="6030" w:type="dxa"/>
          </w:tcPr>
          <w:p w14:paraId="51D8B61B" w14:textId="7A7542B7" w:rsidR="00C52E97" w:rsidRDefault="00C52E97" w:rsidP="00C52E97">
            <w:pPr>
              <w:pStyle w:val="ListParagraph"/>
              <w:numPr>
                <w:ilvl w:val="0"/>
                <w:numId w:val="70"/>
              </w:numPr>
              <w:ind w:left="166" w:hanging="180"/>
            </w:pPr>
            <w:r w:rsidRPr="00C52E97">
              <w:rPr>
                <w:b/>
              </w:rPr>
              <w:t>Notify</w:t>
            </w:r>
            <w:r>
              <w:t xml:space="preserve"> appropriate state and federal food </w:t>
            </w:r>
            <w:r w:rsidR="00E25430">
              <w:t>regulatory agencies, and state health departments of</w:t>
            </w:r>
            <w:r w:rsidR="00E25430" w:rsidRPr="00C306BE">
              <w:t xml:space="preserve"> </w:t>
            </w:r>
            <w:r w:rsidR="00E25430">
              <w:t xml:space="preserve">increase in infections, </w:t>
            </w:r>
            <w:r w:rsidR="00E25430" w:rsidRPr="00C306BE">
              <w:t>sub-cluster</w:t>
            </w:r>
            <w:r w:rsidR="00E25430">
              <w:t>s, or linked common-source outbreaks</w:t>
            </w:r>
            <w:r w:rsidR="00E25430" w:rsidRPr="00C306BE">
              <w:t>.</w:t>
            </w:r>
          </w:p>
          <w:p w14:paraId="0B6472BD" w14:textId="08B8C963" w:rsidR="00F34DFB" w:rsidRPr="0080760D" w:rsidRDefault="00F34DFB" w:rsidP="00E25430"/>
        </w:tc>
      </w:tr>
      <w:tr w:rsidR="0078074B" w14:paraId="2A809C0C" w14:textId="77777777" w:rsidTr="00BE2E13">
        <w:tc>
          <w:tcPr>
            <w:tcW w:w="7195" w:type="dxa"/>
          </w:tcPr>
          <w:p w14:paraId="40D6E128" w14:textId="522F0295" w:rsidR="0078074B" w:rsidRDefault="0078074B" w:rsidP="002041B6">
            <w:pPr>
              <w:pStyle w:val="ListParagraph"/>
              <w:numPr>
                <w:ilvl w:val="0"/>
                <w:numId w:val="70"/>
              </w:numPr>
              <w:ind w:left="150" w:hanging="180"/>
            </w:pPr>
            <w:r>
              <w:t xml:space="preserve">Food item tested positive by federal or state food regulatory agency linked to </w:t>
            </w:r>
            <w:r w:rsidR="004D4C5D">
              <w:t xml:space="preserve">apparently </w:t>
            </w:r>
            <w:r>
              <w:t>sporadic infections with common subtype characteristics.</w:t>
            </w:r>
          </w:p>
        </w:tc>
        <w:tc>
          <w:tcPr>
            <w:tcW w:w="6030" w:type="dxa"/>
          </w:tcPr>
          <w:p w14:paraId="0E88A077" w14:textId="436B4F3D" w:rsidR="0078074B" w:rsidRPr="00C52E97" w:rsidRDefault="0078074B" w:rsidP="00A87F63">
            <w:pPr>
              <w:pStyle w:val="ListParagraph"/>
              <w:numPr>
                <w:ilvl w:val="0"/>
                <w:numId w:val="70"/>
              </w:numPr>
              <w:ind w:left="166" w:hanging="180"/>
              <w:rPr>
                <w:b/>
              </w:rPr>
            </w:pPr>
            <w:r w:rsidRPr="0078074B">
              <w:rPr>
                <w:b/>
              </w:rPr>
              <w:t xml:space="preserve">Notify </w:t>
            </w:r>
            <w:r w:rsidRPr="0078074B">
              <w:t>CDC,</w:t>
            </w:r>
            <w:r>
              <w:rPr>
                <w:b/>
              </w:rPr>
              <w:t xml:space="preserve"> </w:t>
            </w:r>
            <w:r w:rsidRPr="0078074B">
              <w:t>affected state health</w:t>
            </w:r>
            <w:r w:rsidRPr="0078074B">
              <w:rPr>
                <w:b/>
              </w:rPr>
              <w:t xml:space="preserve"> </w:t>
            </w:r>
            <w:r w:rsidRPr="0078074B">
              <w:t>department</w:t>
            </w:r>
            <w:r>
              <w:t>s</w:t>
            </w:r>
            <w:r w:rsidRPr="0078074B">
              <w:t>,</w:t>
            </w:r>
            <w:r>
              <w:t xml:space="preserve"> and other</w:t>
            </w:r>
            <w:r w:rsidRPr="0078074B">
              <w:t xml:space="preserve"> state and federal food regulatory agencies</w:t>
            </w:r>
            <w:r>
              <w:t>.</w:t>
            </w:r>
          </w:p>
        </w:tc>
      </w:tr>
    </w:tbl>
    <w:p w14:paraId="06452EC6" w14:textId="0803C10C" w:rsidR="00C52E97" w:rsidRDefault="00C52E97">
      <w:pPr>
        <w:rPr>
          <w:b/>
        </w:rPr>
        <w:sectPr w:rsidR="00C52E97" w:rsidSect="00C52E97">
          <w:pgSz w:w="14900" w:h="10080" w:orient="landscape"/>
          <w:pgMar w:top="900" w:right="1400" w:bottom="900" w:left="290" w:header="720" w:footer="720" w:gutter="0"/>
          <w:cols w:space="720"/>
          <w:noEndnote/>
          <w:docGrid w:linePitch="299"/>
        </w:sectPr>
      </w:pPr>
    </w:p>
    <w:p w14:paraId="5454857D" w14:textId="77777777" w:rsidR="00070530" w:rsidRDefault="00070530" w:rsidP="000903FB"/>
    <w:sectPr w:rsidR="00070530" w:rsidSect="003D6D90">
      <w:headerReference w:type="default" r:id="rId16"/>
      <w:footerReference w:type="default" r:id="rId17"/>
      <w:pgSz w:w="10080" w:h="14900"/>
      <w:pgMar w:top="290" w:right="900" w:bottom="1400" w:left="90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116C8" w16cid:durableId="202518D4"/>
  <w16cid:commentId w16cid:paraId="47FE5A3C" w16cid:durableId="20251A7E"/>
  <w16cid:commentId w16cid:paraId="4EDDCC77" w16cid:durableId="202524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8EE88" w14:textId="77777777" w:rsidR="00C618DA" w:rsidRDefault="00C618DA">
      <w:pPr>
        <w:spacing w:after="0" w:line="240" w:lineRule="auto"/>
      </w:pPr>
      <w:r>
        <w:separator/>
      </w:r>
    </w:p>
  </w:endnote>
  <w:endnote w:type="continuationSeparator" w:id="0">
    <w:p w14:paraId="7DD57098" w14:textId="77777777" w:rsidR="00C618DA" w:rsidRDefault="00C61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55 Roman">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B6852" w14:textId="77777777" w:rsidR="00C12F74" w:rsidRDefault="00C12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491499"/>
      <w:docPartObj>
        <w:docPartGallery w:val="Page Numbers (Bottom of Page)"/>
        <w:docPartUnique/>
      </w:docPartObj>
    </w:sdtPr>
    <w:sdtEndPr>
      <w:rPr>
        <w:noProof/>
      </w:rPr>
    </w:sdtEndPr>
    <w:sdtContent>
      <w:p w14:paraId="13804B4B" w14:textId="71965CE2" w:rsidR="000F2283" w:rsidRDefault="000F2283">
        <w:pPr>
          <w:pStyle w:val="Footer"/>
          <w:jc w:val="right"/>
        </w:pPr>
        <w:r>
          <w:fldChar w:fldCharType="begin"/>
        </w:r>
        <w:r>
          <w:instrText xml:space="preserve"> PAGE   \* MERGEFORMAT </w:instrText>
        </w:r>
        <w:r>
          <w:fldChar w:fldCharType="separate"/>
        </w:r>
        <w:r w:rsidR="00191440">
          <w:rPr>
            <w:noProof/>
          </w:rPr>
          <w:t>10</w:t>
        </w:r>
        <w:r>
          <w:rPr>
            <w:noProof/>
          </w:rPr>
          <w:fldChar w:fldCharType="end"/>
        </w:r>
      </w:p>
    </w:sdtContent>
  </w:sdt>
  <w:p w14:paraId="76E28403" w14:textId="77777777" w:rsidR="003629CA" w:rsidRDefault="003629CA" w:rsidP="2CE5D4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7D73" w14:textId="77777777" w:rsidR="00C12F74" w:rsidRDefault="00C12F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120"/>
      <w:gridCol w:w="3120"/>
      <w:gridCol w:w="3120"/>
    </w:tblGrid>
    <w:tr w:rsidR="003629CA" w14:paraId="2D53182B" w14:textId="77777777" w:rsidTr="2CE5D46E">
      <w:tc>
        <w:tcPr>
          <w:tcW w:w="3120" w:type="dxa"/>
        </w:tcPr>
        <w:p w14:paraId="2EC528FB" w14:textId="7CABDD8A" w:rsidR="003629CA" w:rsidRDefault="003629CA" w:rsidP="2CE5D46E">
          <w:pPr>
            <w:pStyle w:val="Header"/>
            <w:ind w:left="-115"/>
          </w:pPr>
        </w:p>
      </w:tc>
      <w:tc>
        <w:tcPr>
          <w:tcW w:w="3120" w:type="dxa"/>
        </w:tcPr>
        <w:p w14:paraId="33B7CEB6" w14:textId="7FB3DA96" w:rsidR="003629CA" w:rsidRDefault="003629CA" w:rsidP="2CE5D46E">
          <w:pPr>
            <w:pStyle w:val="Header"/>
            <w:jc w:val="center"/>
          </w:pPr>
        </w:p>
      </w:tc>
      <w:tc>
        <w:tcPr>
          <w:tcW w:w="3120" w:type="dxa"/>
        </w:tcPr>
        <w:p w14:paraId="140208A5" w14:textId="33C29602" w:rsidR="003629CA" w:rsidRDefault="003629CA" w:rsidP="2CE5D46E">
          <w:pPr>
            <w:pStyle w:val="Header"/>
            <w:ind w:right="-115"/>
            <w:jc w:val="right"/>
          </w:pPr>
        </w:p>
      </w:tc>
    </w:tr>
  </w:tbl>
  <w:p w14:paraId="2695B876" w14:textId="55AD6657" w:rsidR="003629CA" w:rsidRDefault="003629CA" w:rsidP="2CE5D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B3DAB" w14:textId="77777777" w:rsidR="00C618DA" w:rsidRDefault="00C618DA">
      <w:pPr>
        <w:spacing w:after="0" w:line="240" w:lineRule="auto"/>
      </w:pPr>
      <w:r>
        <w:separator/>
      </w:r>
    </w:p>
  </w:footnote>
  <w:footnote w:type="continuationSeparator" w:id="0">
    <w:p w14:paraId="4EF44DD7" w14:textId="77777777" w:rsidR="00C618DA" w:rsidRDefault="00C61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FAB86" w14:textId="77777777" w:rsidR="00C12F74" w:rsidRDefault="00C12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2760"/>
      <w:gridCol w:w="2760"/>
      <w:gridCol w:w="2760"/>
    </w:tblGrid>
    <w:tr w:rsidR="003629CA" w14:paraId="6B0AF0B4" w14:textId="77777777" w:rsidTr="2CE5D46E">
      <w:tc>
        <w:tcPr>
          <w:tcW w:w="2760" w:type="dxa"/>
        </w:tcPr>
        <w:p w14:paraId="588E36F3" w14:textId="387E36E8" w:rsidR="003629CA" w:rsidRDefault="003629CA" w:rsidP="2CE5D46E">
          <w:pPr>
            <w:pStyle w:val="Header"/>
            <w:ind w:left="-115"/>
          </w:pPr>
        </w:p>
      </w:tc>
      <w:tc>
        <w:tcPr>
          <w:tcW w:w="2760" w:type="dxa"/>
        </w:tcPr>
        <w:p w14:paraId="62DEFBF7" w14:textId="77777777" w:rsidR="003629CA" w:rsidRDefault="003629CA" w:rsidP="2CE5D46E">
          <w:pPr>
            <w:pStyle w:val="Header"/>
            <w:jc w:val="center"/>
          </w:pPr>
        </w:p>
      </w:tc>
      <w:tc>
        <w:tcPr>
          <w:tcW w:w="2760" w:type="dxa"/>
        </w:tcPr>
        <w:p w14:paraId="1F751DF5" w14:textId="77777777" w:rsidR="003629CA" w:rsidRDefault="003629CA" w:rsidP="2CE5D46E">
          <w:pPr>
            <w:pStyle w:val="Header"/>
            <w:ind w:right="-115"/>
            <w:jc w:val="right"/>
          </w:pPr>
        </w:p>
      </w:tc>
    </w:tr>
  </w:tbl>
  <w:sdt>
    <w:sdtPr>
      <w:id w:val="-1769930775"/>
      <w:docPartObj>
        <w:docPartGallery w:val="Watermarks"/>
        <w:docPartUnique/>
      </w:docPartObj>
    </w:sdtPr>
    <w:sdtEndPr/>
    <w:sdtContent>
      <w:p w14:paraId="1DC12C25" w14:textId="0C5C47EF" w:rsidR="003629CA" w:rsidRDefault="00191440" w:rsidP="2CE5D46E">
        <w:pPr>
          <w:pStyle w:val="Header"/>
        </w:pPr>
        <w:r>
          <w:rPr>
            <w:noProof/>
          </w:rPr>
          <w:pict w14:anchorId="7A8591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5BCFB" w14:textId="77777777" w:rsidR="00C12F74" w:rsidRDefault="00C12F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120"/>
      <w:gridCol w:w="3120"/>
      <w:gridCol w:w="3120"/>
    </w:tblGrid>
    <w:tr w:rsidR="003629CA" w14:paraId="18311B25" w14:textId="77777777" w:rsidTr="2CE5D46E">
      <w:tc>
        <w:tcPr>
          <w:tcW w:w="3120" w:type="dxa"/>
        </w:tcPr>
        <w:p w14:paraId="6DEE6459" w14:textId="31A217BE" w:rsidR="003629CA" w:rsidRDefault="003629CA" w:rsidP="2CE5D46E">
          <w:pPr>
            <w:pStyle w:val="Header"/>
            <w:ind w:left="-115"/>
          </w:pPr>
        </w:p>
      </w:tc>
      <w:tc>
        <w:tcPr>
          <w:tcW w:w="3120" w:type="dxa"/>
        </w:tcPr>
        <w:p w14:paraId="58785B33" w14:textId="50F288AB" w:rsidR="003629CA" w:rsidRDefault="003629CA" w:rsidP="2CE5D46E">
          <w:pPr>
            <w:pStyle w:val="Header"/>
            <w:jc w:val="center"/>
          </w:pPr>
        </w:p>
      </w:tc>
      <w:tc>
        <w:tcPr>
          <w:tcW w:w="3120" w:type="dxa"/>
        </w:tcPr>
        <w:p w14:paraId="24BC5C6D" w14:textId="30B91B08" w:rsidR="003629CA" w:rsidRDefault="003629CA" w:rsidP="2CE5D46E">
          <w:pPr>
            <w:pStyle w:val="Header"/>
            <w:ind w:right="-115"/>
            <w:jc w:val="right"/>
          </w:pPr>
        </w:p>
      </w:tc>
    </w:tr>
  </w:tbl>
  <w:p w14:paraId="12BB9A22" w14:textId="73FC88F9" w:rsidR="003629CA" w:rsidRDefault="003629CA" w:rsidP="2CE5D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52E"/>
    <w:multiLevelType w:val="hybridMultilevel"/>
    <w:tmpl w:val="6B5E961E"/>
    <w:lvl w:ilvl="0" w:tplc="987AF9BC">
      <w:numFmt w:val="bullet"/>
      <w:lvlText w:val="•"/>
      <w:lvlJc w:val="left"/>
      <w:pPr>
        <w:ind w:left="274" w:hanging="172"/>
      </w:pPr>
      <w:rPr>
        <w:rFonts w:ascii="Calibri" w:eastAsia="Calibri" w:hAnsi="Calibri" w:cs="Calibri" w:hint="default"/>
        <w:color w:val="00A94F"/>
        <w:w w:val="90"/>
        <w:sz w:val="18"/>
        <w:szCs w:val="18"/>
      </w:rPr>
    </w:lvl>
    <w:lvl w:ilvl="1" w:tplc="25AEEE2E">
      <w:numFmt w:val="bullet"/>
      <w:lvlText w:val="•"/>
      <w:lvlJc w:val="left"/>
      <w:pPr>
        <w:ind w:left="602" w:hanging="172"/>
      </w:pPr>
      <w:rPr>
        <w:rFonts w:hint="default"/>
      </w:rPr>
    </w:lvl>
    <w:lvl w:ilvl="2" w:tplc="0B726EAA">
      <w:numFmt w:val="bullet"/>
      <w:lvlText w:val="•"/>
      <w:lvlJc w:val="left"/>
      <w:pPr>
        <w:ind w:left="924" w:hanging="172"/>
      </w:pPr>
      <w:rPr>
        <w:rFonts w:hint="default"/>
      </w:rPr>
    </w:lvl>
    <w:lvl w:ilvl="3" w:tplc="F0C8E4C8">
      <w:numFmt w:val="bullet"/>
      <w:lvlText w:val="•"/>
      <w:lvlJc w:val="left"/>
      <w:pPr>
        <w:ind w:left="1246" w:hanging="172"/>
      </w:pPr>
      <w:rPr>
        <w:rFonts w:hint="default"/>
      </w:rPr>
    </w:lvl>
    <w:lvl w:ilvl="4" w:tplc="49F0CA3C">
      <w:numFmt w:val="bullet"/>
      <w:lvlText w:val="•"/>
      <w:lvlJc w:val="left"/>
      <w:pPr>
        <w:ind w:left="1568" w:hanging="172"/>
      </w:pPr>
      <w:rPr>
        <w:rFonts w:hint="default"/>
      </w:rPr>
    </w:lvl>
    <w:lvl w:ilvl="5" w:tplc="1E88D2EE">
      <w:numFmt w:val="bullet"/>
      <w:lvlText w:val="•"/>
      <w:lvlJc w:val="left"/>
      <w:pPr>
        <w:ind w:left="1890" w:hanging="172"/>
      </w:pPr>
      <w:rPr>
        <w:rFonts w:hint="default"/>
      </w:rPr>
    </w:lvl>
    <w:lvl w:ilvl="6" w:tplc="8190FD8E">
      <w:numFmt w:val="bullet"/>
      <w:lvlText w:val="•"/>
      <w:lvlJc w:val="left"/>
      <w:pPr>
        <w:ind w:left="2212" w:hanging="172"/>
      </w:pPr>
      <w:rPr>
        <w:rFonts w:hint="default"/>
      </w:rPr>
    </w:lvl>
    <w:lvl w:ilvl="7" w:tplc="BC50D47C">
      <w:numFmt w:val="bullet"/>
      <w:lvlText w:val="•"/>
      <w:lvlJc w:val="left"/>
      <w:pPr>
        <w:ind w:left="2534" w:hanging="172"/>
      </w:pPr>
      <w:rPr>
        <w:rFonts w:hint="default"/>
      </w:rPr>
    </w:lvl>
    <w:lvl w:ilvl="8" w:tplc="4E7A2CEC">
      <w:numFmt w:val="bullet"/>
      <w:lvlText w:val="•"/>
      <w:lvlJc w:val="left"/>
      <w:pPr>
        <w:ind w:left="2856" w:hanging="172"/>
      </w:pPr>
      <w:rPr>
        <w:rFonts w:hint="default"/>
      </w:rPr>
    </w:lvl>
  </w:abstractNum>
  <w:abstractNum w:abstractNumId="1" w15:restartNumberingAfterBreak="0">
    <w:nsid w:val="015A75CA"/>
    <w:multiLevelType w:val="hybridMultilevel"/>
    <w:tmpl w:val="22D0E4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8760D3"/>
    <w:multiLevelType w:val="hybridMultilevel"/>
    <w:tmpl w:val="8326CBCA"/>
    <w:lvl w:ilvl="0" w:tplc="890C06CC">
      <w:numFmt w:val="bullet"/>
      <w:lvlText w:val="•"/>
      <w:lvlJc w:val="left"/>
      <w:pPr>
        <w:ind w:left="274" w:hanging="172"/>
      </w:pPr>
      <w:rPr>
        <w:rFonts w:ascii="Calibri" w:eastAsia="Calibri" w:hAnsi="Calibri" w:cs="Calibri" w:hint="default"/>
        <w:color w:val="00A94F"/>
        <w:w w:val="90"/>
        <w:sz w:val="18"/>
        <w:szCs w:val="18"/>
      </w:rPr>
    </w:lvl>
    <w:lvl w:ilvl="1" w:tplc="2C3A302C">
      <w:numFmt w:val="bullet"/>
      <w:lvlText w:val="•"/>
      <w:lvlJc w:val="left"/>
      <w:pPr>
        <w:ind w:left="674" w:hanging="172"/>
      </w:pPr>
      <w:rPr>
        <w:rFonts w:hint="default"/>
      </w:rPr>
    </w:lvl>
    <w:lvl w:ilvl="2" w:tplc="4F46A526">
      <w:numFmt w:val="bullet"/>
      <w:lvlText w:val="•"/>
      <w:lvlJc w:val="left"/>
      <w:pPr>
        <w:ind w:left="1068" w:hanging="172"/>
      </w:pPr>
      <w:rPr>
        <w:rFonts w:hint="default"/>
      </w:rPr>
    </w:lvl>
    <w:lvl w:ilvl="3" w:tplc="56AEBB8E">
      <w:numFmt w:val="bullet"/>
      <w:lvlText w:val="•"/>
      <w:lvlJc w:val="left"/>
      <w:pPr>
        <w:ind w:left="1462" w:hanging="172"/>
      </w:pPr>
      <w:rPr>
        <w:rFonts w:hint="default"/>
      </w:rPr>
    </w:lvl>
    <w:lvl w:ilvl="4" w:tplc="BA7840EC">
      <w:numFmt w:val="bullet"/>
      <w:lvlText w:val="•"/>
      <w:lvlJc w:val="left"/>
      <w:pPr>
        <w:ind w:left="1856" w:hanging="172"/>
      </w:pPr>
      <w:rPr>
        <w:rFonts w:hint="default"/>
      </w:rPr>
    </w:lvl>
    <w:lvl w:ilvl="5" w:tplc="19C2756E">
      <w:numFmt w:val="bullet"/>
      <w:lvlText w:val="•"/>
      <w:lvlJc w:val="left"/>
      <w:pPr>
        <w:ind w:left="2250" w:hanging="172"/>
      </w:pPr>
      <w:rPr>
        <w:rFonts w:hint="default"/>
      </w:rPr>
    </w:lvl>
    <w:lvl w:ilvl="6" w:tplc="96442B30">
      <w:numFmt w:val="bullet"/>
      <w:lvlText w:val="•"/>
      <w:lvlJc w:val="left"/>
      <w:pPr>
        <w:ind w:left="2644" w:hanging="172"/>
      </w:pPr>
      <w:rPr>
        <w:rFonts w:hint="default"/>
      </w:rPr>
    </w:lvl>
    <w:lvl w:ilvl="7" w:tplc="50A4360C">
      <w:numFmt w:val="bullet"/>
      <w:lvlText w:val="•"/>
      <w:lvlJc w:val="left"/>
      <w:pPr>
        <w:ind w:left="3038" w:hanging="172"/>
      </w:pPr>
      <w:rPr>
        <w:rFonts w:hint="default"/>
      </w:rPr>
    </w:lvl>
    <w:lvl w:ilvl="8" w:tplc="E13C4DF6">
      <w:numFmt w:val="bullet"/>
      <w:lvlText w:val="•"/>
      <w:lvlJc w:val="left"/>
      <w:pPr>
        <w:ind w:left="3432" w:hanging="172"/>
      </w:pPr>
      <w:rPr>
        <w:rFonts w:hint="default"/>
      </w:rPr>
    </w:lvl>
  </w:abstractNum>
  <w:abstractNum w:abstractNumId="3" w15:restartNumberingAfterBreak="0">
    <w:nsid w:val="049E43D3"/>
    <w:multiLevelType w:val="hybridMultilevel"/>
    <w:tmpl w:val="706EA790"/>
    <w:lvl w:ilvl="0" w:tplc="C0BA1FA6">
      <w:numFmt w:val="bullet"/>
      <w:lvlText w:val="•"/>
      <w:lvlJc w:val="left"/>
      <w:pPr>
        <w:ind w:left="274" w:hanging="172"/>
      </w:pPr>
      <w:rPr>
        <w:rFonts w:ascii="Calibri" w:eastAsia="Calibri" w:hAnsi="Calibri" w:cs="Calibri" w:hint="default"/>
        <w:color w:val="00A94F"/>
        <w:w w:val="90"/>
        <w:sz w:val="18"/>
        <w:szCs w:val="18"/>
      </w:rPr>
    </w:lvl>
    <w:lvl w:ilvl="1" w:tplc="7E248E32">
      <w:numFmt w:val="bullet"/>
      <w:lvlText w:val="•"/>
      <w:lvlJc w:val="left"/>
      <w:pPr>
        <w:ind w:left="701" w:hanging="172"/>
      </w:pPr>
      <w:rPr>
        <w:rFonts w:hint="default"/>
      </w:rPr>
    </w:lvl>
    <w:lvl w:ilvl="2" w:tplc="8B1AE4E6">
      <w:numFmt w:val="bullet"/>
      <w:lvlText w:val="•"/>
      <w:lvlJc w:val="left"/>
      <w:pPr>
        <w:ind w:left="1122" w:hanging="172"/>
      </w:pPr>
      <w:rPr>
        <w:rFonts w:hint="default"/>
      </w:rPr>
    </w:lvl>
    <w:lvl w:ilvl="3" w:tplc="F7089152">
      <w:numFmt w:val="bullet"/>
      <w:lvlText w:val="•"/>
      <w:lvlJc w:val="left"/>
      <w:pPr>
        <w:ind w:left="1543" w:hanging="172"/>
      </w:pPr>
      <w:rPr>
        <w:rFonts w:hint="default"/>
      </w:rPr>
    </w:lvl>
    <w:lvl w:ilvl="4" w:tplc="870A0A48">
      <w:numFmt w:val="bullet"/>
      <w:lvlText w:val="•"/>
      <w:lvlJc w:val="left"/>
      <w:pPr>
        <w:ind w:left="1964" w:hanging="172"/>
      </w:pPr>
      <w:rPr>
        <w:rFonts w:hint="default"/>
      </w:rPr>
    </w:lvl>
    <w:lvl w:ilvl="5" w:tplc="D7D48A2C">
      <w:numFmt w:val="bullet"/>
      <w:lvlText w:val="•"/>
      <w:lvlJc w:val="left"/>
      <w:pPr>
        <w:ind w:left="2385" w:hanging="172"/>
      </w:pPr>
      <w:rPr>
        <w:rFonts w:hint="default"/>
      </w:rPr>
    </w:lvl>
    <w:lvl w:ilvl="6" w:tplc="1E4A4914">
      <w:numFmt w:val="bullet"/>
      <w:lvlText w:val="•"/>
      <w:lvlJc w:val="left"/>
      <w:pPr>
        <w:ind w:left="2806" w:hanging="172"/>
      </w:pPr>
      <w:rPr>
        <w:rFonts w:hint="default"/>
      </w:rPr>
    </w:lvl>
    <w:lvl w:ilvl="7" w:tplc="0D2E0E20">
      <w:numFmt w:val="bullet"/>
      <w:lvlText w:val="•"/>
      <w:lvlJc w:val="left"/>
      <w:pPr>
        <w:ind w:left="3227" w:hanging="172"/>
      </w:pPr>
      <w:rPr>
        <w:rFonts w:hint="default"/>
      </w:rPr>
    </w:lvl>
    <w:lvl w:ilvl="8" w:tplc="647EB35C">
      <w:numFmt w:val="bullet"/>
      <w:lvlText w:val="•"/>
      <w:lvlJc w:val="left"/>
      <w:pPr>
        <w:ind w:left="3648" w:hanging="172"/>
      </w:pPr>
      <w:rPr>
        <w:rFonts w:hint="default"/>
      </w:rPr>
    </w:lvl>
  </w:abstractNum>
  <w:abstractNum w:abstractNumId="4" w15:restartNumberingAfterBreak="0">
    <w:nsid w:val="060473D7"/>
    <w:multiLevelType w:val="hybridMultilevel"/>
    <w:tmpl w:val="AE3E32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A57CB6"/>
    <w:multiLevelType w:val="hybridMultilevel"/>
    <w:tmpl w:val="604E0B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C1E41"/>
    <w:multiLevelType w:val="hybridMultilevel"/>
    <w:tmpl w:val="98825B5C"/>
    <w:lvl w:ilvl="0" w:tplc="4CA835CA">
      <w:numFmt w:val="bullet"/>
      <w:lvlText w:val="•"/>
      <w:lvlJc w:val="left"/>
      <w:pPr>
        <w:ind w:left="274" w:hanging="172"/>
      </w:pPr>
      <w:rPr>
        <w:rFonts w:ascii="Calibri" w:eastAsia="Calibri" w:hAnsi="Calibri" w:cs="Calibri" w:hint="default"/>
        <w:color w:val="00A94F"/>
        <w:w w:val="90"/>
        <w:sz w:val="18"/>
        <w:szCs w:val="18"/>
      </w:rPr>
    </w:lvl>
    <w:lvl w:ilvl="1" w:tplc="F948C656">
      <w:numFmt w:val="bullet"/>
      <w:lvlText w:val="•"/>
      <w:lvlJc w:val="left"/>
      <w:pPr>
        <w:ind w:left="494" w:hanging="172"/>
      </w:pPr>
      <w:rPr>
        <w:rFonts w:hint="default"/>
      </w:rPr>
    </w:lvl>
    <w:lvl w:ilvl="2" w:tplc="5B38F406">
      <w:numFmt w:val="bullet"/>
      <w:lvlText w:val="•"/>
      <w:lvlJc w:val="left"/>
      <w:pPr>
        <w:ind w:left="708" w:hanging="172"/>
      </w:pPr>
      <w:rPr>
        <w:rFonts w:hint="default"/>
      </w:rPr>
    </w:lvl>
    <w:lvl w:ilvl="3" w:tplc="1876BBE0">
      <w:numFmt w:val="bullet"/>
      <w:lvlText w:val="•"/>
      <w:lvlJc w:val="left"/>
      <w:pPr>
        <w:ind w:left="922" w:hanging="172"/>
      </w:pPr>
      <w:rPr>
        <w:rFonts w:hint="default"/>
      </w:rPr>
    </w:lvl>
    <w:lvl w:ilvl="4" w:tplc="F8580B80">
      <w:numFmt w:val="bullet"/>
      <w:lvlText w:val="•"/>
      <w:lvlJc w:val="left"/>
      <w:pPr>
        <w:ind w:left="1136" w:hanging="172"/>
      </w:pPr>
      <w:rPr>
        <w:rFonts w:hint="default"/>
      </w:rPr>
    </w:lvl>
    <w:lvl w:ilvl="5" w:tplc="ABB23EFE">
      <w:numFmt w:val="bullet"/>
      <w:lvlText w:val="•"/>
      <w:lvlJc w:val="left"/>
      <w:pPr>
        <w:ind w:left="1350" w:hanging="172"/>
      </w:pPr>
      <w:rPr>
        <w:rFonts w:hint="default"/>
      </w:rPr>
    </w:lvl>
    <w:lvl w:ilvl="6" w:tplc="05F84982">
      <w:numFmt w:val="bullet"/>
      <w:lvlText w:val="•"/>
      <w:lvlJc w:val="left"/>
      <w:pPr>
        <w:ind w:left="1564" w:hanging="172"/>
      </w:pPr>
      <w:rPr>
        <w:rFonts w:hint="default"/>
      </w:rPr>
    </w:lvl>
    <w:lvl w:ilvl="7" w:tplc="720A8714">
      <w:numFmt w:val="bullet"/>
      <w:lvlText w:val="•"/>
      <w:lvlJc w:val="left"/>
      <w:pPr>
        <w:ind w:left="1778" w:hanging="172"/>
      </w:pPr>
      <w:rPr>
        <w:rFonts w:hint="default"/>
      </w:rPr>
    </w:lvl>
    <w:lvl w:ilvl="8" w:tplc="946C7680">
      <w:numFmt w:val="bullet"/>
      <w:lvlText w:val="•"/>
      <w:lvlJc w:val="left"/>
      <w:pPr>
        <w:ind w:left="1992" w:hanging="172"/>
      </w:pPr>
      <w:rPr>
        <w:rFonts w:hint="default"/>
      </w:rPr>
    </w:lvl>
  </w:abstractNum>
  <w:abstractNum w:abstractNumId="7" w15:restartNumberingAfterBreak="0">
    <w:nsid w:val="1135586A"/>
    <w:multiLevelType w:val="hybridMultilevel"/>
    <w:tmpl w:val="A80680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5410FD7"/>
    <w:multiLevelType w:val="hybridMultilevel"/>
    <w:tmpl w:val="D55E0318"/>
    <w:lvl w:ilvl="0" w:tplc="17A6A1C2">
      <w:numFmt w:val="bullet"/>
      <w:lvlText w:val="•"/>
      <w:lvlJc w:val="left"/>
      <w:pPr>
        <w:ind w:left="274" w:hanging="172"/>
      </w:pPr>
      <w:rPr>
        <w:rFonts w:ascii="Calibri" w:eastAsia="Calibri" w:hAnsi="Calibri" w:cs="Calibri" w:hint="default"/>
        <w:color w:val="00A94F"/>
        <w:w w:val="90"/>
        <w:sz w:val="18"/>
        <w:szCs w:val="18"/>
      </w:rPr>
    </w:lvl>
    <w:lvl w:ilvl="1" w:tplc="42646908">
      <w:numFmt w:val="bullet"/>
      <w:lvlText w:val="•"/>
      <w:lvlJc w:val="left"/>
      <w:pPr>
        <w:ind w:left="674" w:hanging="172"/>
      </w:pPr>
      <w:rPr>
        <w:rFonts w:hint="default"/>
      </w:rPr>
    </w:lvl>
    <w:lvl w:ilvl="2" w:tplc="F294A85E">
      <w:numFmt w:val="bullet"/>
      <w:lvlText w:val="•"/>
      <w:lvlJc w:val="left"/>
      <w:pPr>
        <w:ind w:left="1068" w:hanging="172"/>
      </w:pPr>
      <w:rPr>
        <w:rFonts w:hint="default"/>
      </w:rPr>
    </w:lvl>
    <w:lvl w:ilvl="3" w:tplc="BAFCFE88">
      <w:numFmt w:val="bullet"/>
      <w:lvlText w:val="•"/>
      <w:lvlJc w:val="left"/>
      <w:pPr>
        <w:ind w:left="1462" w:hanging="172"/>
      </w:pPr>
      <w:rPr>
        <w:rFonts w:hint="default"/>
      </w:rPr>
    </w:lvl>
    <w:lvl w:ilvl="4" w:tplc="38CE8D62">
      <w:numFmt w:val="bullet"/>
      <w:lvlText w:val="•"/>
      <w:lvlJc w:val="left"/>
      <w:pPr>
        <w:ind w:left="1856" w:hanging="172"/>
      </w:pPr>
      <w:rPr>
        <w:rFonts w:hint="default"/>
      </w:rPr>
    </w:lvl>
    <w:lvl w:ilvl="5" w:tplc="50B80D0C">
      <w:numFmt w:val="bullet"/>
      <w:lvlText w:val="•"/>
      <w:lvlJc w:val="left"/>
      <w:pPr>
        <w:ind w:left="2250" w:hanging="172"/>
      </w:pPr>
      <w:rPr>
        <w:rFonts w:hint="default"/>
      </w:rPr>
    </w:lvl>
    <w:lvl w:ilvl="6" w:tplc="E1562A94">
      <w:numFmt w:val="bullet"/>
      <w:lvlText w:val="•"/>
      <w:lvlJc w:val="left"/>
      <w:pPr>
        <w:ind w:left="2644" w:hanging="172"/>
      </w:pPr>
      <w:rPr>
        <w:rFonts w:hint="default"/>
      </w:rPr>
    </w:lvl>
    <w:lvl w:ilvl="7" w:tplc="DCEAA1D4">
      <w:numFmt w:val="bullet"/>
      <w:lvlText w:val="•"/>
      <w:lvlJc w:val="left"/>
      <w:pPr>
        <w:ind w:left="3038" w:hanging="172"/>
      </w:pPr>
      <w:rPr>
        <w:rFonts w:hint="default"/>
      </w:rPr>
    </w:lvl>
    <w:lvl w:ilvl="8" w:tplc="C58870AC">
      <w:numFmt w:val="bullet"/>
      <w:lvlText w:val="•"/>
      <w:lvlJc w:val="left"/>
      <w:pPr>
        <w:ind w:left="3432" w:hanging="172"/>
      </w:pPr>
      <w:rPr>
        <w:rFonts w:hint="default"/>
      </w:rPr>
    </w:lvl>
  </w:abstractNum>
  <w:abstractNum w:abstractNumId="9" w15:restartNumberingAfterBreak="0">
    <w:nsid w:val="16075081"/>
    <w:multiLevelType w:val="hybridMultilevel"/>
    <w:tmpl w:val="726AD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C408B"/>
    <w:multiLevelType w:val="hybridMultilevel"/>
    <w:tmpl w:val="9D3CA1D8"/>
    <w:lvl w:ilvl="0" w:tplc="73668F28">
      <w:numFmt w:val="bullet"/>
      <w:lvlText w:val="•"/>
      <w:lvlJc w:val="left"/>
      <w:pPr>
        <w:ind w:left="274" w:hanging="172"/>
      </w:pPr>
      <w:rPr>
        <w:rFonts w:ascii="Calibri" w:eastAsia="Calibri" w:hAnsi="Calibri" w:cs="Calibri" w:hint="default"/>
        <w:color w:val="00A94F"/>
        <w:w w:val="90"/>
        <w:sz w:val="18"/>
        <w:szCs w:val="18"/>
      </w:rPr>
    </w:lvl>
    <w:lvl w:ilvl="1" w:tplc="8BEA3B9C">
      <w:numFmt w:val="bullet"/>
      <w:lvlText w:val="•"/>
      <w:lvlJc w:val="left"/>
      <w:pPr>
        <w:ind w:left="602" w:hanging="172"/>
      </w:pPr>
      <w:rPr>
        <w:rFonts w:hint="default"/>
      </w:rPr>
    </w:lvl>
    <w:lvl w:ilvl="2" w:tplc="59AEBB84">
      <w:numFmt w:val="bullet"/>
      <w:lvlText w:val="•"/>
      <w:lvlJc w:val="left"/>
      <w:pPr>
        <w:ind w:left="924" w:hanging="172"/>
      </w:pPr>
      <w:rPr>
        <w:rFonts w:hint="default"/>
      </w:rPr>
    </w:lvl>
    <w:lvl w:ilvl="3" w:tplc="615EB756">
      <w:numFmt w:val="bullet"/>
      <w:lvlText w:val="•"/>
      <w:lvlJc w:val="left"/>
      <w:pPr>
        <w:ind w:left="1246" w:hanging="172"/>
      </w:pPr>
      <w:rPr>
        <w:rFonts w:hint="default"/>
      </w:rPr>
    </w:lvl>
    <w:lvl w:ilvl="4" w:tplc="042EBAF8">
      <w:numFmt w:val="bullet"/>
      <w:lvlText w:val="•"/>
      <w:lvlJc w:val="left"/>
      <w:pPr>
        <w:ind w:left="1568" w:hanging="172"/>
      </w:pPr>
      <w:rPr>
        <w:rFonts w:hint="default"/>
      </w:rPr>
    </w:lvl>
    <w:lvl w:ilvl="5" w:tplc="51D268F6">
      <w:numFmt w:val="bullet"/>
      <w:lvlText w:val="•"/>
      <w:lvlJc w:val="left"/>
      <w:pPr>
        <w:ind w:left="1890" w:hanging="172"/>
      </w:pPr>
      <w:rPr>
        <w:rFonts w:hint="default"/>
      </w:rPr>
    </w:lvl>
    <w:lvl w:ilvl="6" w:tplc="16EEE796">
      <w:numFmt w:val="bullet"/>
      <w:lvlText w:val="•"/>
      <w:lvlJc w:val="left"/>
      <w:pPr>
        <w:ind w:left="2212" w:hanging="172"/>
      </w:pPr>
      <w:rPr>
        <w:rFonts w:hint="default"/>
      </w:rPr>
    </w:lvl>
    <w:lvl w:ilvl="7" w:tplc="20A60A6A">
      <w:numFmt w:val="bullet"/>
      <w:lvlText w:val="•"/>
      <w:lvlJc w:val="left"/>
      <w:pPr>
        <w:ind w:left="2534" w:hanging="172"/>
      </w:pPr>
      <w:rPr>
        <w:rFonts w:hint="default"/>
      </w:rPr>
    </w:lvl>
    <w:lvl w:ilvl="8" w:tplc="015EEDC8">
      <w:numFmt w:val="bullet"/>
      <w:lvlText w:val="•"/>
      <w:lvlJc w:val="left"/>
      <w:pPr>
        <w:ind w:left="2856" w:hanging="172"/>
      </w:pPr>
      <w:rPr>
        <w:rFonts w:hint="default"/>
      </w:rPr>
    </w:lvl>
  </w:abstractNum>
  <w:abstractNum w:abstractNumId="11" w15:restartNumberingAfterBreak="0">
    <w:nsid w:val="17D74E08"/>
    <w:multiLevelType w:val="hybridMultilevel"/>
    <w:tmpl w:val="833C0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4110E"/>
    <w:multiLevelType w:val="hybridMultilevel"/>
    <w:tmpl w:val="D28AA252"/>
    <w:lvl w:ilvl="0" w:tplc="C1C4359E">
      <w:numFmt w:val="bullet"/>
      <w:lvlText w:val="•"/>
      <w:lvlJc w:val="left"/>
      <w:pPr>
        <w:ind w:left="274" w:hanging="172"/>
      </w:pPr>
      <w:rPr>
        <w:rFonts w:ascii="Calibri" w:eastAsia="Calibri" w:hAnsi="Calibri" w:cs="Calibri" w:hint="default"/>
        <w:color w:val="00A94F"/>
        <w:w w:val="90"/>
        <w:sz w:val="18"/>
        <w:szCs w:val="18"/>
      </w:rPr>
    </w:lvl>
    <w:lvl w:ilvl="1" w:tplc="47088512">
      <w:numFmt w:val="bullet"/>
      <w:lvlText w:val="•"/>
      <w:lvlJc w:val="left"/>
      <w:pPr>
        <w:ind w:left="494" w:hanging="172"/>
      </w:pPr>
      <w:rPr>
        <w:rFonts w:hint="default"/>
      </w:rPr>
    </w:lvl>
    <w:lvl w:ilvl="2" w:tplc="9AAE8836">
      <w:numFmt w:val="bullet"/>
      <w:lvlText w:val="•"/>
      <w:lvlJc w:val="left"/>
      <w:pPr>
        <w:ind w:left="708" w:hanging="172"/>
      </w:pPr>
      <w:rPr>
        <w:rFonts w:hint="default"/>
      </w:rPr>
    </w:lvl>
    <w:lvl w:ilvl="3" w:tplc="22AA2BA0">
      <w:numFmt w:val="bullet"/>
      <w:lvlText w:val="•"/>
      <w:lvlJc w:val="left"/>
      <w:pPr>
        <w:ind w:left="922" w:hanging="172"/>
      </w:pPr>
      <w:rPr>
        <w:rFonts w:hint="default"/>
      </w:rPr>
    </w:lvl>
    <w:lvl w:ilvl="4" w:tplc="06BCBF60">
      <w:numFmt w:val="bullet"/>
      <w:lvlText w:val="•"/>
      <w:lvlJc w:val="left"/>
      <w:pPr>
        <w:ind w:left="1136" w:hanging="172"/>
      </w:pPr>
      <w:rPr>
        <w:rFonts w:hint="default"/>
      </w:rPr>
    </w:lvl>
    <w:lvl w:ilvl="5" w:tplc="477CF660">
      <w:numFmt w:val="bullet"/>
      <w:lvlText w:val="•"/>
      <w:lvlJc w:val="left"/>
      <w:pPr>
        <w:ind w:left="1350" w:hanging="172"/>
      </w:pPr>
      <w:rPr>
        <w:rFonts w:hint="default"/>
      </w:rPr>
    </w:lvl>
    <w:lvl w:ilvl="6" w:tplc="49B40E10">
      <w:numFmt w:val="bullet"/>
      <w:lvlText w:val="•"/>
      <w:lvlJc w:val="left"/>
      <w:pPr>
        <w:ind w:left="1564" w:hanging="172"/>
      </w:pPr>
      <w:rPr>
        <w:rFonts w:hint="default"/>
      </w:rPr>
    </w:lvl>
    <w:lvl w:ilvl="7" w:tplc="BE1EF884">
      <w:numFmt w:val="bullet"/>
      <w:lvlText w:val="•"/>
      <w:lvlJc w:val="left"/>
      <w:pPr>
        <w:ind w:left="1778" w:hanging="172"/>
      </w:pPr>
      <w:rPr>
        <w:rFonts w:hint="default"/>
      </w:rPr>
    </w:lvl>
    <w:lvl w:ilvl="8" w:tplc="A3ECFF54">
      <w:numFmt w:val="bullet"/>
      <w:lvlText w:val="•"/>
      <w:lvlJc w:val="left"/>
      <w:pPr>
        <w:ind w:left="1992" w:hanging="172"/>
      </w:pPr>
      <w:rPr>
        <w:rFonts w:hint="default"/>
      </w:rPr>
    </w:lvl>
  </w:abstractNum>
  <w:abstractNum w:abstractNumId="13" w15:restartNumberingAfterBreak="0">
    <w:nsid w:val="1B6E016A"/>
    <w:multiLevelType w:val="multilevel"/>
    <w:tmpl w:val="F2DED72C"/>
    <w:lvl w:ilvl="0">
      <w:start w:val="5"/>
      <w:numFmt w:val="decimal"/>
      <w:lvlText w:val="%1"/>
      <w:lvlJc w:val="left"/>
      <w:pPr>
        <w:ind w:left="435" w:hanging="435"/>
      </w:pPr>
      <w:rPr>
        <w:rFonts w:ascii="Calibri" w:eastAsia="Calibri" w:hAnsi="Calibri" w:cs="Calibri" w:hint="default"/>
        <w:b/>
      </w:rPr>
    </w:lvl>
    <w:lvl w:ilvl="1">
      <w:start w:val="1"/>
      <w:numFmt w:val="decimal"/>
      <w:lvlText w:val="%1.%2"/>
      <w:lvlJc w:val="left"/>
      <w:pPr>
        <w:ind w:left="615" w:hanging="435"/>
      </w:pPr>
      <w:rPr>
        <w:rFonts w:ascii="Calibri" w:eastAsia="Calibri" w:hAnsi="Calibri" w:cs="Calibri" w:hint="default"/>
        <w:b/>
      </w:rPr>
    </w:lvl>
    <w:lvl w:ilvl="2">
      <w:start w:val="6"/>
      <w:numFmt w:val="decimal"/>
      <w:lvlText w:val="%1.%2.%3"/>
      <w:lvlJc w:val="left"/>
      <w:pPr>
        <w:ind w:left="1080" w:hanging="720"/>
      </w:pPr>
      <w:rPr>
        <w:rFonts w:ascii="Calibri" w:eastAsia="Calibri" w:hAnsi="Calibri" w:cs="Calibri" w:hint="default"/>
        <w:b/>
      </w:rPr>
    </w:lvl>
    <w:lvl w:ilvl="3">
      <w:start w:val="1"/>
      <w:numFmt w:val="decimal"/>
      <w:lvlText w:val="%1.%2.%3.%4"/>
      <w:lvlJc w:val="left"/>
      <w:pPr>
        <w:ind w:left="1260" w:hanging="720"/>
      </w:pPr>
      <w:rPr>
        <w:rFonts w:ascii="Calibri" w:eastAsia="Calibri" w:hAnsi="Calibri" w:cs="Calibri" w:hint="default"/>
        <w:b/>
      </w:rPr>
    </w:lvl>
    <w:lvl w:ilvl="4">
      <w:start w:val="1"/>
      <w:numFmt w:val="decimal"/>
      <w:lvlText w:val="%1.%2.%3.%4.%5"/>
      <w:lvlJc w:val="left"/>
      <w:pPr>
        <w:ind w:left="1800" w:hanging="1080"/>
      </w:pPr>
      <w:rPr>
        <w:rFonts w:ascii="Calibri" w:eastAsia="Calibri" w:hAnsi="Calibri" w:cs="Calibri" w:hint="default"/>
        <w:b/>
      </w:rPr>
    </w:lvl>
    <w:lvl w:ilvl="5">
      <w:start w:val="1"/>
      <w:numFmt w:val="decimal"/>
      <w:lvlText w:val="%1.%2.%3.%4.%5.%6"/>
      <w:lvlJc w:val="left"/>
      <w:pPr>
        <w:ind w:left="1980" w:hanging="1080"/>
      </w:pPr>
      <w:rPr>
        <w:rFonts w:ascii="Calibri" w:eastAsia="Calibri" w:hAnsi="Calibri" w:cs="Calibri" w:hint="default"/>
        <w:b/>
      </w:rPr>
    </w:lvl>
    <w:lvl w:ilvl="6">
      <w:start w:val="1"/>
      <w:numFmt w:val="decimal"/>
      <w:lvlText w:val="%1.%2.%3.%4.%5.%6.%7"/>
      <w:lvlJc w:val="left"/>
      <w:pPr>
        <w:ind w:left="2520" w:hanging="1440"/>
      </w:pPr>
      <w:rPr>
        <w:rFonts w:ascii="Calibri" w:eastAsia="Calibri" w:hAnsi="Calibri" w:cs="Calibri" w:hint="default"/>
        <w:b/>
      </w:rPr>
    </w:lvl>
    <w:lvl w:ilvl="7">
      <w:start w:val="1"/>
      <w:numFmt w:val="decimal"/>
      <w:lvlText w:val="%1.%2.%3.%4.%5.%6.%7.%8"/>
      <w:lvlJc w:val="left"/>
      <w:pPr>
        <w:ind w:left="2700" w:hanging="1440"/>
      </w:pPr>
      <w:rPr>
        <w:rFonts w:ascii="Calibri" w:eastAsia="Calibri" w:hAnsi="Calibri" w:cs="Calibri" w:hint="default"/>
        <w:b/>
      </w:rPr>
    </w:lvl>
    <w:lvl w:ilvl="8">
      <w:start w:val="1"/>
      <w:numFmt w:val="decimal"/>
      <w:lvlText w:val="%1.%2.%3.%4.%5.%6.%7.%8.%9"/>
      <w:lvlJc w:val="left"/>
      <w:pPr>
        <w:ind w:left="2880" w:hanging="1440"/>
      </w:pPr>
      <w:rPr>
        <w:rFonts w:ascii="Calibri" w:eastAsia="Calibri" w:hAnsi="Calibri" w:cs="Calibri" w:hint="default"/>
        <w:b/>
      </w:rPr>
    </w:lvl>
  </w:abstractNum>
  <w:abstractNum w:abstractNumId="14" w15:restartNumberingAfterBreak="0">
    <w:nsid w:val="1E2F2B37"/>
    <w:multiLevelType w:val="hybridMultilevel"/>
    <w:tmpl w:val="3B8CC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63DF3"/>
    <w:multiLevelType w:val="hybridMultilevel"/>
    <w:tmpl w:val="8290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DC0421"/>
    <w:multiLevelType w:val="hybridMultilevel"/>
    <w:tmpl w:val="280CB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F6D8E"/>
    <w:multiLevelType w:val="hybridMultilevel"/>
    <w:tmpl w:val="74B4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C4DEC"/>
    <w:multiLevelType w:val="hybridMultilevel"/>
    <w:tmpl w:val="5A806F9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4353F01"/>
    <w:multiLevelType w:val="hybridMultilevel"/>
    <w:tmpl w:val="87229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B3902"/>
    <w:multiLevelType w:val="hybridMultilevel"/>
    <w:tmpl w:val="7E04F55A"/>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41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A6173A"/>
    <w:multiLevelType w:val="hybridMultilevel"/>
    <w:tmpl w:val="81A8754C"/>
    <w:lvl w:ilvl="0" w:tplc="724A200C">
      <w:numFmt w:val="bullet"/>
      <w:lvlText w:val="•"/>
      <w:lvlJc w:val="left"/>
      <w:pPr>
        <w:ind w:left="274" w:hanging="172"/>
      </w:pPr>
      <w:rPr>
        <w:rFonts w:ascii="Calibri" w:eastAsia="Calibri" w:hAnsi="Calibri" w:cs="Calibri" w:hint="default"/>
        <w:color w:val="00A94F"/>
        <w:w w:val="90"/>
        <w:sz w:val="18"/>
        <w:szCs w:val="18"/>
      </w:rPr>
    </w:lvl>
    <w:lvl w:ilvl="1" w:tplc="F6386546">
      <w:numFmt w:val="bullet"/>
      <w:lvlText w:val="o"/>
      <w:lvlJc w:val="left"/>
      <w:pPr>
        <w:ind w:left="463" w:hanging="181"/>
      </w:pPr>
      <w:rPr>
        <w:rFonts w:ascii="Arial" w:eastAsia="Arial" w:hAnsi="Arial" w:cs="Arial" w:hint="default"/>
        <w:color w:val="1C3E94"/>
        <w:w w:val="90"/>
        <w:sz w:val="18"/>
        <w:szCs w:val="18"/>
      </w:rPr>
    </w:lvl>
    <w:lvl w:ilvl="2" w:tplc="9F84FE2C">
      <w:numFmt w:val="bullet"/>
      <w:lvlText w:val="•"/>
      <w:lvlJc w:val="left"/>
      <w:pPr>
        <w:ind w:left="767" w:hanging="181"/>
      </w:pPr>
      <w:rPr>
        <w:rFonts w:hint="default"/>
      </w:rPr>
    </w:lvl>
    <w:lvl w:ilvl="3" w:tplc="851CF192">
      <w:numFmt w:val="bullet"/>
      <w:lvlText w:val="•"/>
      <w:lvlJc w:val="left"/>
      <w:pPr>
        <w:ind w:left="1075" w:hanging="181"/>
      </w:pPr>
      <w:rPr>
        <w:rFonts w:hint="default"/>
      </w:rPr>
    </w:lvl>
    <w:lvl w:ilvl="4" w:tplc="209A39E4">
      <w:numFmt w:val="bullet"/>
      <w:lvlText w:val="•"/>
      <w:lvlJc w:val="left"/>
      <w:pPr>
        <w:ind w:left="1383" w:hanging="181"/>
      </w:pPr>
      <w:rPr>
        <w:rFonts w:hint="default"/>
      </w:rPr>
    </w:lvl>
    <w:lvl w:ilvl="5" w:tplc="319222F6">
      <w:numFmt w:val="bullet"/>
      <w:lvlText w:val="•"/>
      <w:lvlJc w:val="left"/>
      <w:pPr>
        <w:ind w:left="1691" w:hanging="181"/>
      </w:pPr>
      <w:rPr>
        <w:rFonts w:hint="default"/>
      </w:rPr>
    </w:lvl>
    <w:lvl w:ilvl="6" w:tplc="A740B860">
      <w:numFmt w:val="bullet"/>
      <w:lvlText w:val="•"/>
      <w:lvlJc w:val="left"/>
      <w:pPr>
        <w:ind w:left="1998" w:hanging="181"/>
      </w:pPr>
      <w:rPr>
        <w:rFonts w:hint="default"/>
      </w:rPr>
    </w:lvl>
    <w:lvl w:ilvl="7" w:tplc="EAA8CC3A">
      <w:numFmt w:val="bullet"/>
      <w:lvlText w:val="•"/>
      <w:lvlJc w:val="left"/>
      <w:pPr>
        <w:ind w:left="2306" w:hanging="181"/>
      </w:pPr>
      <w:rPr>
        <w:rFonts w:hint="default"/>
      </w:rPr>
    </w:lvl>
    <w:lvl w:ilvl="8" w:tplc="796E17BA">
      <w:numFmt w:val="bullet"/>
      <w:lvlText w:val="•"/>
      <w:lvlJc w:val="left"/>
      <w:pPr>
        <w:ind w:left="2614" w:hanging="181"/>
      </w:pPr>
      <w:rPr>
        <w:rFonts w:hint="default"/>
      </w:rPr>
    </w:lvl>
  </w:abstractNum>
  <w:abstractNum w:abstractNumId="22" w15:restartNumberingAfterBreak="0">
    <w:nsid w:val="2C142EE7"/>
    <w:multiLevelType w:val="hybridMultilevel"/>
    <w:tmpl w:val="0A6656B6"/>
    <w:lvl w:ilvl="0" w:tplc="FEC6A484">
      <w:numFmt w:val="bullet"/>
      <w:lvlText w:val="•"/>
      <w:lvlJc w:val="left"/>
      <w:pPr>
        <w:ind w:left="274" w:hanging="172"/>
      </w:pPr>
      <w:rPr>
        <w:rFonts w:ascii="Calibri" w:eastAsia="Calibri" w:hAnsi="Calibri" w:cs="Calibri" w:hint="default"/>
        <w:color w:val="00A94F"/>
        <w:w w:val="90"/>
        <w:sz w:val="18"/>
        <w:szCs w:val="18"/>
      </w:rPr>
    </w:lvl>
    <w:lvl w:ilvl="1" w:tplc="E4CAD528">
      <w:numFmt w:val="bullet"/>
      <w:lvlText w:val="•"/>
      <w:lvlJc w:val="left"/>
      <w:pPr>
        <w:ind w:left="494" w:hanging="172"/>
      </w:pPr>
      <w:rPr>
        <w:rFonts w:hint="default"/>
      </w:rPr>
    </w:lvl>
    <w:lvl w:ilvl="2" w:tplc="20E68D00">
      <w:numFmt w:val="bullet"/>
      <w:lvlText w:val="•"/>
      <w:lvlJc w:val="left"/>
      <w:pPr>
        <w:ind w:left="708" w:hanging="172"/>
      </w:pPr>
      <w:rPr>
        <w:rFonts w:hint="default"/>
      </w:rPr>
    </w:lvl>
    <w:lvl w:ilvl="3" w:tplc="9CC6CE7E">
      <w:numFmt w:val="bullet"/>
      <w:lvlText w:val="•"/>
      <w:lvlJc w:val="left"/>
      <w:pPr>
        <w:ind w:left="922" w:hanging="172"/>
      </w:pPr>
      <w:rPr>
        <w:rFonts w:hint="default"/>
      </w:rPr>
    </w:lvl>
    <w:lvl w:ilvl="4" w:tplc="73AC003E">
      <w:numFmt w:val="bullet"/>
      <w:lvlText w:val="•"/>
      <w:lvlJc w:val="left"/>
      <w:pPr>
        <w:ind w:left="1136" w:hanging="172"/>
      </w:pPr>
      <w:rPr>
        <w:rFonts w:hint="default"/>
      </w:rPr>
    </w:lvl>
    <w:lvl w:ilvl="5" w:tplc="9BAA7214">
      <w:numFmt w:val="bullet"/>
      <w:lvlText w:val="•"/>
      <w:lvlJc w:val="left"/>
      <w:pPr>
        <w:ind w:left="1350" w:hanging="172"/>
      </w:pPr>
      <w:rPr>
        <w:rFonts w:hint="default"/>
      </w:rPr>
    </w:lvl>
    <w:lvl w:ilvl="6" w:tplc="CD7A6CA0">
      <w:numFmt w:val="bullet"/>
      <w:lvlText w:val="•"/>
      <w:lvlJc w:val="left"/>
      <w:pPr>
        <w:ind w:left="1564" w:hanging="172"/>
      </w:pPr>
      <w:rPr>
        <w:rFonts w:hint="default"/>
      </w:rPr>
    </w:lvl>
    <w:lvl w:ilvl="7" w:tplc="C49873EC">
      <w:numFmt w:val="bullet"/>
      <w:lvlText w:val="•"/>
      <w:lvlJc w:val="left"/>
      <w:pPr>
        <w:ind w:left="1778" w:hanging="172"/>
      </w:pPr>
      <w:rPr>
        <w:rFonts w:hint="default"/>
      </w:rPr>
    </w:lvl>
    <w:lvl w:ilvl="8" w:tplc="B1A45DA4">
      <w:numFmt w:val="bullet"/>
      <w:lvlText w:val="•"/>
      <w:lvlJc w:val="left"/>
      <w:pPr>
        <w:ind w:left="1992" w:hanging="172"/>
      </w:pPr>
      <w:rPr>
        <w:rFonts w:hint="default"/>
      </w:rPr>
    </w:lvl>
  </w:abstractNum>
  <w:abstractNum w:abstractNumId="23" w15:restartNumberingAfterBreak="0">
    <w:nsid w:val="2D1533BA"/>
    <w:multiLevelType w:val="hybridMultilevel"/>
    <w:tmpl w:val="37703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AC354B"/>
    <w:multiLevelType w:val="hybridMultilevel"/>
    <w:tmpl w:val="6C600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50D6F"/>
    <w:multiLevelType w:val="hybridMultilevel"/>
    <w:tmpl w:val="31948122"/>
    <w:lvl w:ilvl="0" w:tplc="84B481CA">
      <w:numFmt w:val="bullet"/>
      <w:lvlText w:val="•"/>
      <w:lvlJc w:val="left"/>
      <w:pPr>
        <w:ind w:left="274" w:hanging="172"/>
      </w:pPr>
      <w:rPr>
        <w:rFonts w:ascii="Calibri" w:eastAsia="Calibri" w:hAnsi="Calibri" w:cs="Calibri" w:hint="default"/>
        <w:color w:val="00A94F"/>
        <w:w w:val="90"/>
        <w:sz w:val="18"/>
        <w:szCs w:val="18"/>
      </w:rPr>
    </w:lvl>
    <w:lvl w:ilvl="1" w:tplc="9964F876">
      <w:numFmt w:val="bullet"/>
      <w:lvlText w:val="•"/>
      <w:lvlJc w:val="left"/>
      <w:pPr>
        <w:ind w:left="575" w:hanging="172"/>
      </w:pPr>
      <w:rPr>
        <w:rFonts w:hint="default"/>
      </w:rPr>
    </w:lvl>
    <w:lvl w:ilvl="2" w:tplc="8842D8FA">
      <w:numFmt w:val="bullet"/>
      <w:lvlText w:val="•"/>
      <w:lvlJc w:val="left"/>
      <w:pPr>
        <w:ind w:left="870" w:hanging="172"/>
      </w:pPr>
      <w:rPr>
        <w:rFonts w:hint="default"/>
      </w:rPr>
    </w:lvl>
    <w:lvl w:ilvl="3" w:tplc="98FEDEB6">
      <w:numFmt w:val="bullet"/>
      <w:lvlText w:val="•"/>
      <w:lvlJc w:val="left"/>
      <w:pPr>
        <w:ind w:left="1165" w:hanging="172"/>
      </w:pPr>
      <w:rPr>
        <w:rFonts w:hint="default"/>
      </w:rPr>
    </w:lvl>
    <w:lvl w:ilvl="4" w:tplc="9222996E">
      <w:numFmt w:val="bullet"/>
      <w:lvlText w:val="•"/>
      <w:lvlJc w:val="left"/>
      <w:pPr>
        <w:ind w:left="1460" w:hanging="172"/>
      </w:pPr>
      <w:rPr>
        <w:rFonts w:hint="default"/>
      </w:rPr>
    </w:lvl>
    <w:lvl w:ilvl="5" w:tplc="8BA01FCC">
      <w:numFmt w:val="bullet"/>
      <w:lvlText w:val="•"/>
      <w:lvlJc w:val="left"/>
      <w:pPr>
        <w:ind w:left="1755" w:hanging="172"/>
      </w:pPr>
      <w:rPr>
        <w:rFonts w:hint="default"/>
      </w:rPr>
    </w:lvl>
    <w:lvl w:ilvl="6" w:tplc="4E00B1FC">
      <w:numFmt w:val="bullet"/>
      <w:lvlText w:val="•"/>
      <w:lvlJc w:val="left"/>
      <w:pPr>
        <w:ind w:left="2050" w:hanging="172"/>
      </w:pPr>
      <w:rPr>
        <w:rFonts w:hint="default"/>
      </w:rPr>
    </w:lvl>
    <w:lvl w:ilvl="7" w:tplc="9B28EBFE">
      <w:numFmt w:val="bullet"/>
      <w:lvlText w:val="•"/>
      <w:lvlJc w:val="left"/>
      <w:pPr>
        <w:ind w:left="2345" w:hanging="172"/>
      </w:pPr>
      <w:rPr>
        <w:rFonts w:hint="default"/>
      </w:rPr>
    </w:lvl>
    <w:lvl w:ilvl="8" w:tplc="2F60CBA8">
      <w:numFmt w:val="bullet"/>
      <w:lvlText w:val="•"/>
      <w:lvlJc w:val="left"/>
      <w:pPr>
        <w:ind w:left="2640" w:hanging="172"/>
      </w:pPr>
      <w:rPr>
        <w:rFonts w:hint="default"/>
      </w:rPr>
    </w:lvl>
  </w:abstractNum>
  <w:abstractNum w:abstractNumId="26" w15:restartNumberingAfterBreak="0">
    <w:nsid w:val="31246EDE"/>
    <w:multiLevelType w:val="hybridMultilevel"/>
    <w:tmpl w:val="F94CA3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16F2F38"/>
    <w:multiLevelType w:val="hybridMultilevel"/>
    <w:tmpl w:val="6A0CA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FE6761"/>
    <w:multiLevelType w:val="hybridMultilevel"/>
    <w:tmpl w:val="68285F00"/>
    <w:lvl w:ilvl="0" w:tplc="03FC3A8E">
      <w:numFmt w:val="bullet"/>
      <w:lvlText w:val="•"/>
      <w:lvlJc w:val="left"/>
      <w:pPr>
        <w:ind w:left="274" w:hanging="172"/>
      </w:pPr>
      <w:rPr>
        <w:rFonts w:ascii="Calibri" w:eastAsia="Calibri" w:hAnsi="Calibri" w:cs="Calibri" w:hint="default"/>
        <w:color w:val="00A94F"/>
        <w:w w:val="90"/>
        <w:sz w:val="18"/>
        <w:szCs w:val="18"/>
      </w:rPr>
    </w:lvl>
    <w:lvl w:ilvl="1" w:tplc="C99ABDFC">
      <w:numFmt w:val="bullet"/>
      <w:lvlText w:val="•"/>
      <w:lvlJc w:val="left"/>
      <w:pPr>
        <w:ind w:left="701" w:hanging="172"/>
      </w:pPr>
      <w:rPr>
        <w:rFonts w:hint="default"/>
      </w:rPr>
    </w:lvl>
    <w:lvl w:ilvl="2" w:tplc="E7FA1804">
      <w:numFmt w:val="bullet"/>
      <w:lvlText w:val="•"/>
      <w:lvlJc w:val="left"/>
      <w:pPr>
        <w:ind w:left="1122" w:hanging="172"/>
      </w:pPr>
      <w:rPr>
        <w:rFonts w:hint="default"/>
      </w:rPr>
    </w:lvl>
    <w:lvl w:ilvl="3" w:tplc="B768C2F6">
      <w:numFmt w:val="bullet"/>
      <w:lvlText w:val="•"/>
      <w:lvlJc w:val="left"/>
      <w:pPr>
        <w:ind w:left="1543" w:hanging="172"/>
      </w:pPr>
      <w:rPr>
        <w:rFonts w:hint="default"/>
      </w:rPr>
    </w:lvl>
    <w:lvl w:ilvl="4" w:tplc="E1E0D770">
      <w:numFmt w:val="bullet"/>
      <w:lvlText w:val="•"/>
      <w:lvlJc w:val="left"/>
      <w:pPr>
        <w:ind w:left="1964" w:hanging="172"/>
      </w:pPr>
      <w:rPr>
        <w:rFonts w:hint="default"/>
      </w:rPr>
    </w:lvl>
    <w:lvl w:ilvl="5" w:tplc="5A783EE0">
      <w:numFmt w:val="bullet"/>
      <w:lvlText w:val="•"/>
      <w:lvlJc w:val="left"/>
      <w:pPr>
        <w:ind w:left="2385" w:hanging="172"/>
      </w:pPr>
      <w:rPr>
        <w:rFonts w:hint="default"/>
      </w:rPr>
    </w:lvl>
    <w:lvl w:ilvl="6" w:tplc="776CCCAA">
      <w:numFmt w:val="bullet"/>
      <w:lvlText w:val="•"/>
      <w:lvlJc w:val="left"/>
      <w:pPr>
        <w:ind w:left="2806" w:hanging="172"/>
      </w:pPr>
      <w:rPr>
        <w:rFonts w:hint="default"/>
      </w:rPr>
    </w:lvl>
    <w:lvl w:ilvl="7" w:tplc="35184560">
      <w:numFmt w:val="bullet"/>
      <w:lvlText w:val="•"/>
      <w:lvlJc w:val="left"/>
      <w:pPr>
        <w:ind w:left="3227" w:hanging="172"/>
      </w:pPr>
      <w:rPr>
        <w:rFonts w:hint="default"/>
      </w:rPr>
    </w:lvl>
    <w:lvl w:ilvl="8" w:tplc="DA021B32">
      <w:numFmt w:val="bullet"/>
      <w:lvlText w:val="•"/>
      <w:lvlJc w:val="left"/>
      <w:pPr>
        <w:ind w:left="3648" w:hanging="172"/>
      </w:pPr>
      <w:rPr>
        <w:rFonts w:hint="default"/>
      </w:rPr>
    </w:lvl>
  </w:abstractNum>
  <w:abstractNum w:abstractNumId="29" w15:restartNumberingAfterBreak="0">
    <w:nsid w:val="33A33799"/>
    <w:multiLevelType w:val="hybridMultilevel"/>
    <w:tmpl w:val="41908986"/>
    <w:lvl w:ilvl="0" w:tplc="7BA021AE">
      <w:numFmt w:val="bullet"/>
      <w:lvlText w:val="•"/>
      <w:lvlJc w:val="left"/>
      <w:pPr>
        <w:ind w:left="274" w:hanging="172"/>
      </w:pPr>
      <w:rPr>
        <w:rFonts w:ascii="Calibri" w:eastAsia="Calibri" w:hAnsi="Calibri" w:cs="Calibri" w:hint="default"/>
        <w:color w:val="00A94F"/>
        <w:w w:val="90"/>
        <w:sz w:val="18"/>
        <w:szCs w:val="18"/>
      </w:rPr>
    </w:lvl>
    <w:lvl w:ilvl="1" w:tplc="9162CAEC">
      <w:numFmt w:val="bullet"/>
      <w:lvlText w:val="•"/>
      <w:lvlJc w:val="left"/>
      <w:pPr>
        <w:ind w:left="674" w:hanging="172"/>
      </w:pPr>
      <w:rPr>
        <w:rFonts w:hint="default"/>
      </w:rPr>
    </w:lvl>
    <w:lvl w:ilvl="2" w:tplc="699CEB6C">
      <w:numFmt w:val="bullet"/>
      <w:lvlText w:val="•"/>
      <w:lvlJc w:val="left"/>
      <w:pPr>
        <w:ind w:left="1068" w:hanging="172"/>
      </w:pPr>
      <w:rPr>
        <w:rFonts w:hint="default"/>
      </w:rPr>
    </w:lvl>
    <w:lvl w:ilvl="3" w:tplc="124EA16A">
      <w:numFmt w:val="bullet"/>
      <w:lvlText w:val="•"/>
      <w:lvlJc w:val="left"/>
      <w:pPr>
        <w:ind w:left="1462" w:hanging="172"/>
      </w:pPr>
      <w:rPr>
        <w:rFonts w:hint="default"/>
      </w:rPr>
    </w:lvl>
    <w:lvl w:ilvl="4" w:tplc="D5220926">
      <w:numFmt w:val="bullet"/>
      <w:lvlText w:val="•"/>
      <w:lvlJc w:val="left"/>
      <w:pPr>
        <w:ind w:left="1856" w:hanging="172"/>
      </w:pPr>
      <w:rPr>
        <w:rFonts w:hint="default"/>
      </w:rPr>
    </w:lvl>
    <w:lvl w:ilvl="5" w:tplc="4BC2C262">
      <w:numFmt w:val="bullet"/>
      <w:lvlText w:val="•"/>
      <w:lvlJc w:val="left"/>
      <w:pPr>
        <w:ind w:left="2250" w:hanging="172"/>
      </w:pPr>
      <w:rPr>
        <w:rFonts w:hint="default"/>
      </w:rPr>
    </w:lvl>
    <w:lvl w:ilvl="6" w:tplc="A94EA2EA">
      <w:numFmt w:val="bullet"/>
      <w:lvlText w:val="•"/>
      <w:lvlJc w:val="left"/>
      <w:pPr>
        <w:ind w:left="2644" w:hanging="172"/>
      </w:pPr>
      <w:rPr>
        <w:rFonts w:hint="default"/>
      </w:rPr>
    </w:lvl>
    <w:lvl w:ilvl="7" w:tplc="8DE61C0C">
      <w:numFmt w:val="bullet"/>
      <w:lvlText w:val="•"/>
      <w:lvlJc w:val="left"/>
      <w:pPr>
        <w:ind w:left="3038" w:hanging="172"/>
      </w:pPr>
      <w:rPr>
        <w:rFonts w:hint="default"/>
      </w:rPr>
    </w:lvl>
    <w:lvl w:ilvl="8" w:tplc="7F2AD208">
      <w:numFmt w:val="bullet"/>
      <w:lvlText w:val="•"/>
      <w:lvlJc w:val="left"/>
      <w:pPr>
        <w:ind w:left="3432" w:hanging="172"/>
      </w:pPr>
      <w:rPr>
        <w:rFonts w:hint="default"/>
      </w:rPr>
    </w:lvl>
  </w:abstractNum>
  <w:abstractNum w:abstractNumId="30" w15:restartNumberingAfterBreak="0">
    <w:nsid w:val="371734C5"/>
    <w:multiLevelType w:val="hybridMultilevel"/>
    <w:tmpl w:val="46E8A954"/>
    <w:lvl w:ilvl="0" w:tplc="A634B208">
      <w:numFmt w:val="bullet"/>
      <w:lvlText w:val="•"/>
      <w:lvlJc w:val="left"/>
      <w:pPr>
        <w:ind w:left="274" w:hanging="172"/>
      </w:pPr>
      <w:rPr>
        <w:rFonts w:ascii="Calibri" w:eastAsia="Calibri" w:hAnsi="Calibri" w:cs="Calibri" w:hint="default"/>
        <w:color w:val="00A94F"/>
        <w:w w:val="90"/>
        <w:sz w:val="18"/>
        <w:szCs w:val="18"/>
      </w:rPr>
    </w:lvl>
    <w:lvl w:ilvl="1" w:tplc="84AE7F86">
      <w:numFmt w:val="bullet"/>
      <w:lvlText w:val="•"/>
      <w:lvlJc w:val="left"/>
      <w:pPr>
        <w:ind w:left="674" w:hanging="172"/>
      </w:pPr>
      <w:rPr>
        <w:rFonts w:hint="default"/>
      </w:rPr>
    </w:lvl>
    <w:lvl w:ilvl="2" w:tplc="A894DD62">
      <w:numFmt w:val="bullet"/>
      <w:lvlText w:val="•"/>
      <w:lvlJc w:val="left"/>
      <w:pPr>
        <w:ind w:left="1068" w:hanging="172"/>
      </w:pPr>
      <w:rPr>
        <w:rFonts w:hint="default"/>
      </w:rPr>
    </w:lvl>
    <w:lvl w:ilvl="3" w:tplc="BC1E71BE">
      <w:numFmt w:val="bullet"/>
      <w:lvlText w:val="•"/>
      <w:lvlJc w:val="left"/>
      <w:pPr>
        <w:ind w:left="1462" w:hanging="172"/>
      </w:pPr>
      <w:rPr>
        <w:rFonts w:hint="default"/>
      </w:rPr>
    </w:lvl>
    <w:lvl w:ilvl="4" w:tplc="18FCBFE0">
      <w:numFmt w:val="bullet"/>
      <w:lvlText w:val="•"/>
      <w:lvlJc w:val="left"/>
      <w:pPr>
        <w:ind w:left="1856" w:hanging="172"/>
      </w:pPr>
      <w:rPr>
        <w:rFonts w:hint="default"/>
      </w:rPr>
    </w:lvl>
    <w:lvl w:ilvl="5" w:tplc="8968C5CC">
      <w:numFmt w:val="bullet"/>
      <w:lvlText w:val="•"/>
      <w:lvlJc w:val="left"/>
      <w:pPr>
        <w:ind w:left="2250" w:hanging="172"/>
      </w:pPr>
      <w:rPr>
        <w:rFonts w:hint="default"/>
      </w:rPr>
    </w:lvl>
    <w:lvl w:ilvl="6" w:tplc="DDCC8184">
      <w:numFmt w:val="bullet"/>
      <w:lvlText w:val="•"/>
      <w:lvlJc w:val="left"/>
      <w:pPr>
        <w:ind w:left="2644" w:hanging="172"/>
      </w:pPr>
      <w:rPr>
        <w:rFonts w:hint="default"/>
      </w:rPr>
    </w:lvl>
    <w:lvl w:ilvl="7" w:tplc="1BE0CDE2">
      <w:numFmt w:val="bullet"/>
      <w:lvlText w:val="•"/>
      <w:lvlJc w:val="left"/>
      <w:pPr>
        <w:ind w:left="3038" w:hanging="172"/>
      </w:pPr>
      <w:rPr>
        <w:rFonts w:hint="default"/>
      </w:rPr>
    </w:lvl>
    <w:lvl w:ilvl="8" w:tplc="DC786642">
      <w:numFmt w:val="bullet"/>
      <w:lvlText w:val="•"/>
      <w:lvlJc w:val="left"/>
      <w:pPr>
        <w:ind w:left="3432" w:hanging="172"/>
      </w:pPr>
      <w:rPr>
        <w:rFonts w:hint="default"/>
      </w:rPr>
    </w:lvl>
  </w:abstractNum>
  <w:abstractNum w:abstractNumId="31" w15:restartNumberingAfterBreak="0">
    <w:nsid w:val="37FE4CFF"/>
    <w:multiLevelType w:val="hybridMultilevel"/>
    <w:tmpl w:val="47B45658"/>
    <w:lvl w:ilvl="0" w:tplc="C268BB22">
      <w:numFmt w:val="bullet"/>
      <w:lvlText w:val="•"/>
      <w:lvlJc w:val="left"/>
      <w:pPr>
        <w:ind w:left="274" w:hanging="172"/>
      </w:pPr>
      <w:rPr>
        <w:rFonts w:ascii="Calibri" w:eastAsia="Calibri" w:hAnsi="Calibri" w:cs="Calibri" w:hint="default"/>
        <w:color w:val="00A94F"/>
        <w:w w:val="90"/>
        <w:sz w:val="18"/>
        <w:szCs w:val="18"/>
      </w:rPr>
    </w:lvl>
    <w:lvl w:ilvl="1" w:tplc="9864A078">
      <w:numFmt w:val="bullet"/>
      <w:lvlText w:val="•"/>
      <w:lvlJc w:val="left"/>
      <w:pPr>
        <w:ind w:left="494" w:hanging="172"/>
      </w:pPr>
      <w:rPr>
        <w:rFonts w:hint="default"/>
      </w:rPr>
    </w:lvl>
    <w:lvl w:ilvl="2" w:tplc="8FF65CF6">
      <w:numFmt w:val="bullet"/>
      <w:lvlText w:val="•"/>
      <w:lvlJc w:val="left"/>
      <w:pPr>
        <w:ind w:left="708" w:hanging="172"/>
      </w:pPr>
      <w:rPr>
        <w:rFonts w:hint="default"/>
      </w:rPr>
    </w:lvl>
    <w:lvl w:ilvl="3" w:tplc="DE2A8FF4">
      <w:numFmt w:val="bullet"/>
      <w:lvlText w:val="•"/>
      <w:lvlJc w:val="left"/>
      <w:pPr>
        <w:ind w:left="922" w:hanging="172"/>
      </w:pPr>
      <w:rPr>
        <w:rFonts w:hint="default"/>
      </w:rPr>
    </w:lvl>
    <w:lvl w:ilvl="4" w:tplc="0436E34E">
      <w:numFmt w:val="bullet"/>
      <w:lvlText w:val="•"/>
      <w:lvlJc w:val="left"/>
      <w:pPr>
        <w:ind w:left="1136" w:hanging="172"/>
      </w:pPr>
      <w:rPr>
        <w:rFonts w:hint="default"/>
      </w:rPr>
    </w:lvl>
    <w:lvl w:ilvl="5" w:tplc="DD8A9122">
      <w:numFmt w:val="bullet"/>
      <w:lvlText w:val="•"/>
      <w:lvlJc w:val="left"/>
      <w:pPr>
        <w:ind w:left="1350" w:hanging="172"/>
      </w:pPr>
      <w:rPr>
        <w:rFonts w:hint="default"/>
      </w:rPr>
    </w:lvl>
    <w:lvl w:ilvl="6" w:tplc="4CCA3C68">
      <w:numFmt w:val="bullet"/>
      <w:lvlText w:val="•"/>
      <w:lvlJc w:val="left"/>
      <w:pPr>
        <w:ind w:left="1564" w:hanging="172"/>
      </w:pPr>
      <w:rPr>
        <w:rFonts w:hint="default"/>
      </w:rPr>
    </w:lvl>
    <w:lvl w:ilvl="7" w:tplc="E06049C6">
      <w:numFmt w:val="bullet"/>
      <w:lvlText w:val="•"/>
      <w:lvlJc w:val="left"/>
      <w:pPr>
        <w:ind w:left="1778" w:hanging="172"/>
      </w:pPr>
      <w:rPr>
        <w:rFonts w:hint="default"/>
      </w:rPr>
    </w:lvl>
    <w:lvl w:ilvl="8" w:tplc="900CB7D8">
      <w:numFmt w:val="bullet"/>
      <w:lvlText w:val="•"/>
      <w:lvlJc w:val="left"/>
      <w:pPr>
        <w:ind w:left="1992" w:hanging="172"/>
      </w:pPr>
      <w:rPr>
        <w:rFonts w:hint="default"/>
      </w:rPr>
    </w:lvl>
  </w:abstractNum>
  <w:abstractNum w:abstractNumId="32" w15:restartNumberingAfterBreak="0">
    <w:nsid w:val="3B9F1404"/>
    <w:multiLevelType w:val="hybridMultilevel"/>
    <w:tmpl w:val="FD8EDD2C"/>
    <w:lvl w:ilvl="0" w:tplc="76E6CFBC">
      <w:numFmt w:val="bullet"/>
      <w:lvlText w:val="•"/>
      <w:lvlJc w:val="left"/>
      <w:pPr>
        <w:ind w:left="274" w:hanging="172"/>
      </w:pPr>
      <w:rPr>
        <w:rFonts w:ascii="Calibri" w:eastAsia="Calibri" w:hAnsi="Calibri" w:cs="Calibri" w:hint="default"/>
        <w:color w:val="00A94F"/>
        <w:w w:val="90"/>
        <w:sz w:val="18"/>
        <w:szCs w:val="18"/>
      </w:rPr>
    </w:lvl>
    <w:lvl w:ilvl="1" w:tplc="06900B22">
      <w:numFmt w:val="bullet"/>
      <w:lvlText w:val="•"/>
      <w:lvlJc w:val="left"/>
      <w:pPr>
        <w:ind w:left="602" w:hanging="172"/>
      </w:pPr>
      <w:rPr>
        <w:rFonts w:hint="default"/>
      </w:rPr>
    </w:lvl>
    <w:lvl w:ilvl="2" w:tplc="6284DD6A">
      <w:numFmt w:val="bullet"/>
      <w:lvlText w:val="•"/>
      <w:lvlJc w:val="left"/>
      <w:pPr>
        <w:ind w:left="924" w:hanging="172"/>
      </w:pPr>
      <w:rPr>
        <w:rFonts w:hint="default"/>
      </w:rPr>
    </w:lvl>
    <w:lvl w:ilvl="3" w:tplc="E6A03148">
      <w:numFmt w:val="bullet"/>
      <w:lvlText w:val="•"/>
      <w:lvlJc w:val="left"/>
      <w:pPr>
        <w:ind w:left="1246" w:hanging="172"/>
      </w:pPr>
      <w:rPr>
        <w:rFonts w:hint="default"/>
      </w:rPr>
    </w:lvl>
    <w:lvl w:ilvl="4" w:tplc="13889576">
      <w:numFmt w:val="bullet"/>
      <w:lvlText w:val="•"/>
      <w:lvlJc w:val="left"/>
      <w:pPr>
        <w:ind w:left="1568" w:hanging="172"/>
      </w:pPr>
      <w:rPr>
        <w:rFonts w:hint="default"/>
      </w:rPr>
    </w:lvl>
    <w:lvl w:ilvl="5" w:tplc="674AE40A">
      <w:numFmt w:val="bullet"/>
      <w:lvlText w:val="•"/>
      <w:lvlJc w:val="left"/>
      <w:pPr>
        <w:ind w:left="1890" w:hanging="172"/>
      </w:pPr>
      <w:rPr>
        <w:rFonts w:hint="default"/>
      </w:rPr>
    </w:lvl>
    <w:lvl w:ilvl="6" w:tplc="E1CE4E24">
      <w:numFmt w:val="bullet"/>
      <w:lvlText w:val="•"/>
      <w:lvlJc w:val="left"/>
      <w:pPr>
        <w:ind w:left="2212" w:hanging="172"/>
      </w:pPr>
      <w:rPr>
        <w:rFonts w:hint="default"/>
      </w:rPr>
    </w:lvl>
    <w:lvl w:ilvl="7" w:tplc="24E02E12">
      <w:numFmt w:val="bullet"/>
      <w:lvlText w:val="•"/>
      <w:lvlJc w:val="left"/>
      <w:pPr>
        <w:ind w:left="2534" w:hanging="172"/>
      </w:pPr>
      <w:rPr>
        <w:rFonts w:hint="default"/>
      </w:rPr>
    </w:lvl>
    <w:lvl w:ilvl="8" w:tplc="DF5EC6DE">
      <w:numFmt w:val="bullet"/>
      <w:lvlText w:val="•"/>
      <w:lvlJc w:val="left"/>
      <w:pPr>
        <w:ind w:left="2856" w:hanging="172"/>
      </w:pPr>
      <w:rPr>
        <w:rFonts w:hint="default"/>
      </w:rPr>
    </w:lvl>
  </w:abstractNum>
  <w:abstractNum w:abstractNumId="33" w15:restartNumberingAfterBreak="0">
    <w:nsid w:val="414115F4"/>
    <w:multiLevelType w:val="hybridMultilevel"/>
    <w:tmpl w:val="BD723F42"/>
    <w:lvl w:ilvl="0" w:tplc="04090001">
      <w:start w:val="1"/>
      <w:numFmt w:val="bullet"/>
      <w:lvlText w:val=""/>
      <w:lvlJc w:val="left"/>
      <w:pPr>
        <w:ind w:left="5400" w:hanging="360"/>
      </w:pPr>
      <w:rPr>
        <w:rFonts w:ascii="Symbol" w:hAnsi="Symbol" w:hint="default"/>
      </w:rPr>
    </w:lvl>
    <w:lvl w:ilvl="1" w:tplc="04090003" w:tentative="1">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34" w15:restartNumberingAfterBreak="0">
    <w:nsid w:val="42242828"/>
    <w:multiLevelType w:val="hybridMultilevel"/>
    <w:tmpl w:val="EEBEA830"/>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AC432FA">
      <w:numFmt w:val="bullet"/>
      <w:lvlText w:val="•"/>
      <w:lvlJc w:val="left"/>
      <w:pPr>
        <w:ind w:left="2340" w:hanging="360"/>
      </w:pPr>
      <w:rPr>
        <w:rFonts w:ascii="Calibri" w:eastAsia="Calibri" w:hAnsi="Calibri" w:cs="Calibri"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447D2C"/>
    <w:multiLevelType w:val="multilevel"/>
    <w:tmpl w:val="4FF25BC4"/>
    <w:lvl w:ilvl="0">
      <w:start w:val="5"/>
      <w:numFmt w:val="decimal"/>
      <w:lvlText w:val="%1"/>
      <w:lvlJc w:val="left"/>
      <w:pPr>
        <w:ind w:left="375" w:hanging="375"/>
      </w:pPr>
      <w:rPr>
        <w:rFonts w:ascii="Calibri" w:eastAsia="Calibri" w:hAnsi="Calibri" w:cs="Calibri" w:hint="default"/>
      </w:rPr>
    </w:lvl>
    <w:lvl w:ilvl="1">
      <w:start w:val="6"/>
      <w:numFmt w:val="decimal"/>
      <w:lvlText w:val="%1.%2"/>
      <w:lvlJc w:val="left"/>
      <w:pPr>
        <w:ind w:left="645" w:hanging="375"/>
      </w:pPr>
      <w:rPr>
        <w:rFonts w:ascii="Calibri" w:eastAsia="Calibri" w:hAnsi="Calibri" w:cs="Calibri" w:hint="default"/>
      </w:rPr>
    </w:lvl>
    <w:lvl w:ilvl="2">
      <w:start w:val="1"/>
      <w:numFmt w:val="decimal"/>
      <w:lvlText w:val="%1.%2.%3"/>
      <w:lvlJc w:val="left"/>
      <w:pPr>
        <w:ind w:left="990" w:hanging="720"/>
      </w:pPr>
      <w:rPr>
        <w:rFonts w:ascii="Calibri" w:eastAsia="Calibri" w:hAnsi="Calibri" w:cs="Calibri" w:hint="default"/>
        <w:b w:val="0"/>
      </w:rPr>
    </w:lvl>
    <w:lvl w:ilvl="3">
      <w:start w:val="1"/>
      <w:numFmt w:val="decimal"/>
      <w:lvlText w:val="%1.%2.%3.%4"/>
      <w:lvlJc w:val="left"/>
      <w:pPr>
        <w:ind w:left="2250" w:hanging="1080"/>
      </w:pPr>
      <w:rPr>
        <w:rFonts w:ascii="Calibri" w:eastAsia="Calibri" w:hAnsi="Calibri" w:cs="Calibri" w:hint="default"/>
      </w:rPr>
    </w:lvl>
    <w:lvl w:ilvl="4">
      <w:start w:val="1"/>
      <w:numFmt w:val="decimal"/>
      <w:lvlText w:val="%1.%2.%3.%4.%5"/>
      <w:lvlJc w:val="left"/>
      <w:pPr>
        <w:ind w:left="2640" w:hanging="1080"/>
      </w:pPr>
      <w:rPr>
        <w:rFonts w:ascii="Calibri" w:eastAsia="Calibri" w:hAnsi="Calibri" w:cs="Calibri" w:hint="default"/>
      </w:rPr>
    </w:lvl>
    <w:lvl w:ilvl="5">
      <w:start w:val="1"/>
      <w:numFmt w:val="decimal"/>
      <w:lvlText w:val="%1.%2.%3.%4.%5.%6"/>
      <w:lvlJc w:val="left"/>
      <w:pPr>
        <w:ind w:left="3390" w:hanging="1440"/>
      </w:pPr>
      <w:rPr>
        <w:rFonts w:ascii="Calibri" w:eastAsia="Calibri" w:hAnsi="Calibri" w:cs="Calibri" w:hint="default"/>
      </w:rPr>
    </w:lvl>
    <w:lvl w:ilvl="6">
      <w:start w:val="1"/>
      <w:numFmt w:val="decimal"/>
      <w:lvlText w:val="%1.%2.%3.%4.%5.%6.%7"/>
      <w:lvlJc w:val="left"/>
      <w:pPr>
        <w:ind w:left="3780" w:hanging="1440"/>
      </w:pPr>
      <w:rPr>
        <w:rFonts w:ascii="Calibri" w:eastAsia="Calibri" w:hAnsi="Calibri" w:cs="Calibri" w:hint="default"/>
      </w:rPr>
    </w:lvl>
    <w:lvl w:ilvl="7">
      <w:start w:val="1"/>
      <w:numFmt w:val="decimal"/>
      <w:lvlText w:val="%1.%2.%3.%4.%5.%6.%7.%8"/>
      <w:lvlJc w:val="left"/>
      <w:pPr>
        <w:ind w:left="4530" w:hanging="1800"/>
      </w:pPr>
      <w:rPr>
        <w:rFonts w:ascii="Calibri" w:eastAsia="Calibri" w:hAnsi="Calibri" w:cs="Calibri" w:hint="default"/>
      </w:rPr>
    </w:lvl>
    <w:lvl w:ilvl="8">
      <w:start w:val="1"/>
      <w:numFmt w:val="decimal"/>
      <w:lvlText w:val="%1.%2.%3.%4.%5.%6.%7.%8.%9"/>
      <w:lvlJc w:val="left"/>
      <w:pPr>
        <w:ind w:left="5280" w:hanging="2160"/>
      </w:pPr>
      <w:rPr>
        <w:rFonts w:ascii="Calibri" w:eastAsia="Calibri" w:hAnsi="Calibri" w:cs="Calibri" w:hint="default"/>
      </w:rPr>
    </w:lvl>
  </w:abstractNum>
  <w:abstractNum w:abstractNumId="36" w15:restartNumberingAfterBreak="0">
    <w:nsid w:val="42B266E1"/>
    <w:multiLevelType w:val="hybridMultilevel"/>
    <w:tmpl w:val="24F2B4FC"/>
    <w:lvl w:ilvl="0" w:tplc="DE46C920">
      <w:numFmt w:val="bullet"/>
      <w:lvlText w:val="•"/>
      <w:lvlJc w:val="left"/>
      <w:pPr>
        <w:ind w:left="274" w:hanging="172"/>
      </w:pPr>
      <w:rPr>
        <w:rFonts w:ascii="Calibri" w:eastAsia="Calibri" w:hAnsi="Calibri" w:cs="Calibri" w:hint="default"/>
        <w:color w:val="00A94F"/>
        <w:w w:val="90"/>
        <w:sz w:val="18"/>
        <w:szCs w:val="18"/>
      </w:rPr>
    </w:lvl>
    <w:lvl w:ilvl="1" w:tplc="4EE299FA">
      <w:numFmt w:val="bullet"/>
      <w:lvlText w:val="•"/>
      <w:lvlJc w:val="left"/>
      <w:pPr>
        <w:ind w:left="701" w:hanging="172"/>
      </w:pPr>
      <w:rPr>
        <w:rFonts w:hint="default"/>
      </w:rPr>
    </w:lvl>
    <w:lvl w:ilvl="2" w:tplc="B4A24FE2">
      <w:numFmt w:val="bullet"/>
      <w:lvlText w:val="•"/>
      <w:lvlJc w:val="left"/>
      <w:pPr>
        <w:ind w:left="1122" w:hanging="172"/>
      </w:pPr>
      <w:rPr>
        <w:rFonts w:hint="default"/>
      </w:rPr>
    </w:lvl>
    <w:lvl w:ilvl="3" w:tplc="E06059F2">
      <w:numFmt w:val="bullet"/>
      <w:lvlText w:val="•"/>
      <w:lvlJc w:val="left"/>
      <w:pPr>
        <w:ind w:left="1543" w:hanging="172"/>
      </w:pPr>
      <w:rPr>
        <w:rFonts w:hint="default"/>
      </w:rPr>
    </w:lvl>
    <w:lvl w:ilvl="4" w:tplc="1D9E7938">
      <w:numFmt w:val="bullet"/>
      <w:lvlText w:val="•"/>
      <w:lvlJc w:val="left"/>
      <w:pPr>
        <w:ind w:left="1964" w:hanging="172"/>
      </w:pPr>
      <w:rPr>
        <w:rFonts w:hint="default"/>
      </w:rPr>
    </w:lvl>
    <w:lvl w:ilvl="5" w:tplc="BC8A6DD6">
      <w:numFmt w:val="bullet"/>
      <w:lvlText w:val="•"/>
      <w:lvlJc w:val="left"/>
      <w:pPr>
        <w:ind w:left="2385" w:hanging="172"/>
      </w:pPr>
      <w:rPr>
        <w:rFonts w:hint="default"/>
      </w:rPr>
    </w:lvl>
    <w:lvl w:ilvl="6" w:tplc="30069E32">
      <w:numFmt w:val="bullet"/>
      <w:lvlText w:val="•"/>
      <w:lvlJc w:val="left"/>
      <w:pPr>
        <w:ind w:left="2806" w:hanging="172"/>
      </w:pPr>
      <w:rPr>
        <w:rFonts w:hint="default"/>
      </w:rPr>
    </w:lvl>
    <w:lvl w:ilvl="7" w:tplc="79F2D8BC">
      <w:numFmt w:val="bullet"/>
      <w:lvlText w:val="•"/>
      <w:lvlJc w:val="left"/>
      <w:pPr>
        <w:ind w:left="3227" w:hanging="172"/>
      </w:pPr>
      <w:rPr>
        <w:rFonts w:hint="default"/>
      </w:rPr>
    </w:lvl>
    <w:lvl w:ilvl="8" w:tplc="5E58CD5A">
      <w:numFmt w:val="bullet"/>
      <w:lvlText w:val="•"/>
      <w:lvlJc w:val="left"/>
      <w:pPr>
        <w:ind w:left="3648" w:hanging="172"/>
      </w:pPr>
      <w:rPr>
        <w:rFonts w:hint="default"/>
      </w:rPr>
    </w:lvl>
  </w:abstractNum>
  <w:abstractNum w:abstractNumId="37" w15:restartNumberingAfterBreak="0">
    <w:nsid w:val="432119AB"/>
    <w:multiLevelType w:val="hybridMultilevel"/>
    <w:tmpl w:val="D5CA607E"/>
    <w:lvl w:ilvl="0" w:tplc="569035B2">
      <w:numFmt w:val="bullet"/>
      <w:lvlText w:val="•"/>
      <w:lvlJc w:val="left"/>
      <w:pPr>
        <w:ind w:left="274" w:hanging="172"/>
      </w:pPr>
      <w:rPr>
        <w:rFonts w:ascii="Calibri" w:eastAsia="Calibri" w:hAnsi="Calibri" w:cs="Calibri" w:hint="default"/>
        <w:color w:val="00A94F"/>
        <w:w w:val="90"/>
        <w:sz w:val="18"/>
        <w:szCs w:val="18"/>
      </w:rPr>
    </w:lvl>
    <w:lvl w:ilvl="1" w:tplc="39526588">
      <w:numFmt w:val="bullet"/>
      <w:lvlText w:val="•"/>
      <w:lvlJc w:val="left"/>
      <w:pPr>
        <w:ind w:left="701" w:hanging="172"/>
      </w:pPr>
      <w:rPr>
        <w:rFonts w:hint="default"/>
      </w:rPr>
    </w:lvl>
    <w:lvl w:ilvl="2" w:tplc="9508D462">
      <w:numFmt w:val="bullet"/>
      <w:lvlText w:val="•"/>
      <w:lvlJc w:val="left"/>
      <w:pPr>
        <w:ind w:left="1122" w:hanging="172"/>
      </w:pPr>
      <w:rPr>
        <w:rFonts w:hint="default"/>
      </w:rPr>
    </w:lvl>
    <w:lvl w:ilvl="3" w:tplc="3B72148C">
      <w:numFmt w:val="bullet"/>
      <w:lvlText w:val="•"/>
      <w:lvlJc w:val="left"/>
      <w:pPr>
        <w:ind w:left="1543" w:hanging="172"/>
      </w:pPr>
      <w:rPr>
        <w:rFonts w:hint="default"/>
      </w:rPr>
    </w:lvl>
    <w:lvl w:ilvl="4" w:tplc="9B349D48">
      <w:numFmt w:val="bullet"/>
      <w:lvlText w:val="•"/>
      <w:lvlJc w:val="left"/>
      <w:pPr>
        <w:ind w:left="1964" w:hanging="172"/>
      </w:pPr>
      <w:rPr>
        <w:rFonts w:hint="default"/>
      </w:rPr>
    </w:lvl>
    <w:lvl w:ilvl="5" w:tplc="4C8ADC7C">
      <w:numFmt w:val="bullet"/>
      <w:lvlText w:val="•"/>
      <w:lvlJc w:val="left"/>
      <w:pPr>
        <w:ind w:left="2385" w:hanging="172"/>
      </w:pPr>
      <w:rPr>
        <w:rFonts w:hint="default"/>
      </w:rPr>
    </w:lvl>
    <w:lvl w:ilvl="6" w:tplc="3E9EC0C6">
      <w:numFmt w:val="bullet"/>
      <w:lvlText w:val="•"/>
      <w:lvlJc w:val="left"/>
      <w:pPr>
        <w:ind w:left="2806" w:hanging="172"/>
      </w:pPr>
      <w:rPr>
        <w:rFonts w:hint="default"/>
      </w:rPr>
    </w:lvl>
    <w:lvl w:ilvl="7" w:tplc="F990A326">
      <w:numFmt w:val="bullet"/>
      <w:lvlText w:val="•"/>
      <w:lvlJc w:val="left"/>
      <w:pPr>
        <w:ind w:left="3227" w:hanging="172"/>
      </w:pPr>
      <w:rPr>
        <w:rFonts w:hint="default"/>
      </w:rPr>
    </w:lvl>
    <w:lvl w:ilvl="8" w:tplc="540CC88C">
      <w:numFmt w:val="bullet"/>
      <w:lvlText w:val="•"/>
      <w:lvlJc w:val="left"/>
      <w:pPr>
        <w:ind w:left="3648" w:hanging="172"/>
      </w:pPr>
      <w:rPr>
        <w:rFonts w:hint="default"/>
      </w:rPr>
    </w:lvl>
  </w:abstractNum>
  <w:abstractNum w:abstractNumId="38" w15:restartNumberingAfterBreak="0">
    <w:nsid w:val="4429220B"/>
    <w:multiLevelType w:val="hybridMultilevel"/>
    <w:tmpl w:val="C52E23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48C7082"/>
    <w:multiLevelType w:val="hybridMultilevel"/>
    <w:tmpl w:val="51B639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5E350CE"/>
    <w:multiLevelType w:val="hybridMultilevel"/>
    <w:tmpl w:val="7FD0BCAC"/>
    <w:lvl w:ilvl="0" w:tplc="AD5C29E0">
      <w:numFmt w:val="bullet"/>
      <w:lvlText w:val="•"/>
      <w:lvlJc w:val="left"/>
      <w:pPr>
        <w:ind w:left="274" w:hanging="172"/>
      </w:pPr>
      <w:rPr>
        <w:rFonts w:ascii="Calibri" w:eastAsia="Calibri" w:hAnsi="Calibri" w:cs="Calibri" w:hint="default"/>
        <w:color w:val="00A94F"/>
        <w:w w:val="90"/>
        <w:sz w:val="18"/>
        <w:szCs w:val="18"/>
      </w:rPr>
    </w:lvl>
    <w:lvl w:ilvl="1" w:tplc="DFCEA18E">
      <w:numFmt w:val="bullet"/>
      <w:lvlText w:val="•"/>
      <w:lvlJc w:val="left"/>
      <w:pPr>
        <w:ind w:left="494" w:hanging="172"/>
      </w:pPr>
      <w:rPr>
        <w:rFonts w:hint="default"/>
      </w:rPr>
    </w:lvl>
    <w:lvl w:ilvl="2" w:tplc="45B45EA0">
      <w:numFmt w:val="bullet"/>
      <w:lvlText w:val="•"/>
      <w:lvlJc w:val="left"/>
      <w:pPr>
        <w:ind w:left="708" w:hanging="172"/>
      </w:pPr>
      <w:rPr>
        <w:rFonts w:hint="default"/>
      </w:rPr>
    </w:lvl>
    <w:lvl w:ilvl="3" w:tplc="9D6845DC">
      <w:numFmt w:val="bullet"/>
      <w:lvlText w:val="•"/>
      <w:lvlJc w:val="left"/>
      <w:pPr>
        <w:ind w:left="922" w:hanging="172"/>
      </w:pPr>
      <w:rPr>
        <w:rFonts w:hint="default"/>
      </w:rPr>
    </w:lvl>
    <w:lvl w:ilvl="4" w:tplc="545A7B0E">
      <w:numFmt w:val="bullet"/>
      <w:lvlText w:val="•"/>
      <w:lvlJc w:val="left"/>
      <w:pPr>
        <w:ind w:left="1136" w:hanging="172"/>
      </w:pPr>
      <w:rPr>
        <w:rFonts w:hint="default"/>
      </w:rPr>
    </w:lvl>
    <w:lvl w:ilvl="5" w:tplc="2CFE754C">
      <w:numFmt w:val="bullet"/>
      <w:lvlText w:val="•"/>
      <w:lvlJc w:val="left"/>
      <w:pPr>
        <w:ind w:left="1350" w:hanging="172"/>
      </w:pPr>
      <w:rPr>
        <w:rFonts w:hint="default"/>
      </w:rPr>
    </w:lvl>
    <w:lvl w:ilvl="6" w:tplc="7CDA4CA0">
      <w:numFmt w:val="bullet"/>
      <w:lvlText w:val="•"/>
      <w:lvlJc w:val="left"/>
      <w:pPr>
        <w:ind w:left="1564" w:hanging="172"/>
      </w:pPr>
      <w:rPr>
        <w:rFonts w:hint="default"/>
      </w:rPr>
    </w:lvl>
    <w:lvl w:ilvl="7" w:tplc="F3BE7CAE">
      <w:numFmt w:val="bullet"/>
      <w:lvlText w:val="•"/>
      <w:lvlJc w:val="left"/>
      <w:pPr>
        <w:ind w:left="1778" w:hanging="172"/>
      </w:pPr>
      <w:rPr>
        <w:rFonts w:hint="default"/>
      </w:rPr>
    </w:lvl>
    <w:lvl w:ilvl="8" w:tplc="B554DB24">
      <w:numFmt w:val="bullet"/>
      <w:lvlText w:val="•"/>
      <w:lvlJc w:val="left"/>
      <w:pPr>
        <w:ind w:left="1992" w:hanging="172"/>
      </w:pPr>
      <w:rPr>
        <w:rFonts w:hint="default"/>
      </w:rPr>
    </w:lvl>
  </w:abstractNum>
  <w:abstractNum w:abstractNumId="41" w15:restartNumberingAfterBreak="0">
    <w:nsid w:val="47292C7D"/>
    <w:multiLevelType w:val="hybridMultilevel"/>
    <w:tmpl w:val="E3DE6A94"/>
    <w:lvl w:ilvl="0" w:tplc="19B0CDDA">
      <w:numFmt w:val="bullet"/>
      <w:lvlText w:val="•"/>
      <w:lvlJc w:val="left"/>
      <w:pPr>
        <w:ind w:left="274" w:hanging="172"/>
      </w:pPr>
      <w:rPr>
        <w:rFonts w:ascii="Calibri" w:eastAsia="Calibri" w:hAnsi="Calibri" w:cs="Calibri" w:hint="default"/>
        <w:color w:val="00A94F"/>
        <w:w w:val="90"/>
        <w:sz w:val="18"/>
        <w:szCs w:val="18"/>
      </w:rPr>
    </w:lvl>
    <w:lvl w:ilvl="1" w:tplc="AB0EC554">
      <w:numFmt w:val="bullet"/>
      <w:lvlText w:val="•"/>
      <w:lvlJc w:val="left"/>
      <w:pPr>
        <w:ind w:left="575" w:hanging="172"/>
      </w:pPr>
      <w:rPr>
        <w:rFonts w:hint="default"/>
      </w:rPr>
    </w:lvl>
    <w:lvl w:ilvl="2" w:tplc="D3AC09A6">
      <w:numFmt w:val="bullet"/>
      <w:lvlText w:val="•"/>
      <w:lvlJc w:val="left"/>
      <w:pPr>
        <w:ind w:left="870" w:hanging="172"/>
      </w:pPr>
      <w:rPr>
        <w:rFonts w:hint="default"/>
      </w:rPr>
    </w:lvl>
    <w:lvl w:ilvl="3" w:tplc="5F5E1BA6">
      <w:numFmt w:val="bullet"/>
      <w:lvlText w:val="•"/>
      <w:lvlJc w:val="left"/>
      <w:pPr>
        <w:ind w:left="1165" w:hanging="172"/>
      </w:pPr>
      <w:rPr>
        <w:rFonts w:hint="default"/>
      </w:rPr>
    </w:lvl>
    <w:lvl w:ilvl="4" w:tplc="23E67D80">
      <w:numFmt w:val="bullet"/>
      <w:lvlText w:val="•"/>
      <w:lvlJc w:val="left"/>
      <w:pPr>
        <w:ind w:left="1460" w:hanging="172"/>
      </w:pPr>
      <w:rPr>
        <w:rFonts w:hint="default"/>
      </w:rPr>
    </w:lvl>
    <w:lvl w:ilvl="5" w:tplc="F920DDCC">
      <w:numFmt w:val="bullet"/>
      <w:lvlText w:val="•"/>
      <w:lvlJc w:val="left"/>
      <w:pPr>
        <w:ind w:left="1755" w:hanging="172"/>
      </w:pPr>
      <w:rPr>
        <w:rFonts w:hint="default"/>
      </w:rPr>
    </w:lvl>
    <w:lvl w:ilvl="6" w:tplc="72F8EF40">
      <w:numFmt w:val="bullet"/>
      <w:lvlText w:val="•"/>
      <w:lvlJc w:val="left"/>
      <w:pPr>
        <w:ind w:left="2050" w:hanging="172"/>
      </w:pPr>
      <w:rPr>
        <w:rFonts w:hint="default"/>
      </w:rPr>
    </w:lvl>
    <w:lvl w:ilvl="7" w:tplc="0BC4AB5E">
      <w:numFmt w:val="bullet"/>
      <w:lvlText w:val="•"/>
      <w:lvlJc w:val="left"/>
      <w:pPr>
        <w:ind w:left="2345" w:hanging="172"/>
      </w:pPr>
      <w:rPr>
        <w:rFonts w:hint="default"/>
      </w:rPr>
    </w:lvl>
    <w:lvl w:ilvl="8" w:tplc="DF14C7BE">
      <w:numFmt w:val="bullet"/>
      <w:lvlText w:val="•"/>
      <w:lvlJc w:val="left"/>
      <w:pPr>
        <w:ind w:left="2640" w:hanging="172"/>
      </w:pPr>
      <w:rPr>
        <w:rFonts w:hint="default"/>
      </w:rPr>
    </w:lvl>
  </w:abstractNum>
  <w:abstractNum w:abstractNumId="42" w15:restartNumberingAfterBreak="0">
    <w:nsid w:val="478A2AAC"/>
    <w:multiLevelType w:val="hybridMultilevel"/>
    <w:tmpl w:val="871A6434"/>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AE8002B2">
      <w:start w:val="1"/>
      <w:numFmt w:val="upperLetter"/>
      <w:lvlText w:val="%3&gt;"/>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227F4C"/>
    <w:multiLevelType w:val="hybridMultilevel"/>
    <w:tmpl w:val="A8D2FC16"/>
    <w:lvl w:ilvl="0" w:tplc="70F62602">
      <w:numFmt w:val="bullet"/>
      <w:lvlText w:val="•"/>
      <w:lvlJc w:val="left"/>
      <w:pPr>
        <w:ind w:left="274" w:hanging="172"/>
      </w:pPr>
      <w:rPr>
        <w:rFonts w:ascii="Calibri" w:eastAsia="Calibri" w:hAnsi="Calibri" w:cs="Calibri" w:hint="default"/>
        <w:color w:val="00A94F"/>
        <w:w w:val="90"/>
        <w:sz w:val="18"/>
        <w:szCs w:val="18"/>
      </w:rPr>
    </w:lvl>
    <w:lvl w:ilvl="1" w:tplc="A174542A">
      <w:numFmt w:val="bullet"/>
      <w:lvlText w:val="•"/>
      <w:lvlJc w:val="left"/>
      <w:pPr>
        <w:ind w:left="494" w:hanging="172"/>
      </w:pPr>
      <w:rPr>
        <w:rFonts w:hint="default"/>
      </w:rPr>
    </w:lvl>
    <w:lvl w:ilvl="2" w:tplc="2F9CBCA6">
      <w:numFmt w:val="bullet"/>
      <w:lvlText w:val="•"/>
      <w:lvlJc w:val="left"/>
      <w:pPr>
        <w:ind w:left="708" w:hanging="172"/>
      </w:pPr>
      <w:rPr>
        <w:rFonts w:hint="default"/>
      </w:rPr>
    </w:lvl>
    <w:lvl w:ilvl="3" w:tplc="CC4E86D6">
      <w:numFmt w:val="bullet"/>
      <w:lvlText w:val="•"/>
      <w:lvlJc w:val="left"/>
      <w:pPr>
        <w:ind w:left="922" w:hanging="172"/>
      </w:pPr>
      <w:rPr>
        <w:rFonts w:hint="default"/>
      </w:rPr>
    </w:lvl>
    <w:lvl w:ilvl="4" w:tplc="3A58BB84">
      <w:numFmt w:val="bullet"/>
      <w:lvlText w:val="•"/>
      <w:lvlJc w:val="left"/>
      <w:pPr>
        <w:ind w:left="1136" w:hanging="172"/>
      </w:pPr>
      <w:rPr>
        <w:rFonts w:hint="default"/>
      </w:rPr>
    </w:lvl>
    <w:lvl w:ilvl="5" w:tplc="5BCE5244">
      <w:numFmt w:val="bullet"/>
      <w:lvlText w:val="•"/>
      <w:lvlJc w:val="left"/>
      <w:pPr>
        <w:ind w:left="1350" w:hanging="172"/>
      </w:pPr>
      <w:rPr>
        <w:rFonts w:hint="default"/>
      </w:rPr>
    </w:lvl>
    <w:lvl w:ilvl="6" w:tplc="56182958">
      <w:numFmt w:val="bullet"/>
      <w:lvlText w:val="•"/>
      <w:lvlJc w:val="left"/>
      <w:pPr>
        <w:ind w:left="1564" w:hanging="172"/>
      </w:pPr>
      <w:rPr>
        <w:rFonts w:hint="default"/>
      </w:rPr>
    </w:lvl>
    <w:lvl w:ilvl="7" w:tplc="58263CB6">
      <w:numFmt w:val="bullet"/>
      <w:lvlText w:val="•"/>
      <w:lvlJc w:val="left"/>
      <w:pPr>
        <w:ind w:left="1778" w:hanging="172"/>
      </w:pPr>
      <w:rPr>
        <w:rFonts w:hint="default"/>
      </w:rPr>
    </w:lvl>
    <w:lvl w:ilvl="8" w:tplc="61D6DFFE">
      <w:numFmt w:val="bullet"/>
      <w:lvlText w:val="•"/>
      <w:lvlJc w:val="left"/>
      <w:pPr>
        <w:ind w:left="1992" w:hanging="172"/>
      </w:pPr>
      <w:rPr>
        <w:rFonts w:hint="default"/>
      </w:rPr>
    </w:lvl>
  </w:abstractNum>
  <w:abstractNum w:abstractNumId="44" w15:restartNumberingAfterBreak="0">
    <w:nsid w:val="51F322FA"/>
    <w:multiLevelType w:val="hybridMultilevel"/>
    <w:tmpl w:val="24B809DE"/>
    <w:lvl w:ilvl="0" w:tplc="D292E4CE">
      <w:numFmt w:val="bullet"/>
      <w:lvlText w:val="•"/>
      <w:lvlJc w:val="left"/>
      <w:pPr>
        <w:ind w:left="274" w:hanging="172"/>
      </w:pPr>
      <w:rPr>
        <w:rFonts w:ascii="Calibri" w:eastAsia="Calibri" w:hAnsi="Calibri" w:cs="Calibri" w:hint="default"/>
        <w:color w:val="00A94F"/>
        <w:w w:val="90"/>
        <w:sz w:val="18"/>
        <w:szCs w:val="18"/>
      </w:rPr>
    </w:lvl>
    <w:lvl w:ilvl="1" w:tplc="50C04B68">
      <w:numFmt w:val="bullet"/>
      <w:lvlText w:val="•"/>
      <w:lvlJc w:val="left"/>
      <w:pPr>
        <w:ind w:left="575" w:hanging="172"/>
      </w:pPr>
      <w:rPr>
        <w:rFonts w:hint="default"/>
      </w:rPr>
    </w:lvl>
    <w:lvl w:ilvl="2" w:tplc="33BAADB6">
      <w:numFmt w:val="bullet"/>
      <w:lvlText w:val="•"/>
      <w:lvlJc w:val="left"/>
      <w:pPr>
        <w:ind w:left="870" w:hanging="172"/>
      </w:pPr>
      <w:rPr>
        <w:rFonts w:hint="default"/>
      </w:rPr>
    </w:lvl>
    <w:lvl w:ilvl="3" w:tplc="96802F34">
      <w:numFmt w:val="bullet"/>
      <w:lvlText w:val="•"/>
      <w:lvlJc w:val="left"/>
      <w:pPr>
        <w:ind w:left="1165" w:hanging="172"/>
      </w:pPr>
      <w:rPr>
        <w:rFonts w:hint="default"/>
      </w:rPr>
    </w:lvl>
    <w:lvl w:ilvl="4" w:tplc="2EACE2CC">
      <w:numFmt w:val="bullet"/>
      <w:lvlText w:val="•"/>
      <w:lvlJc w:val="left"/>
      <w:pPr>
        <w:ind w:left="1460" w:hanging="172"/>
      </w:pPr>
      <w:rPr>
        <w:rFonts w:hint="default"/>
      </w:rPr>
    </w:lvl>
    <w:lvl w:ilvl="5" w:tplc="72604FE6">
      <w:numFmt w:val="bullet"/>
      <w:lvlText w:val="•"/>
      <w:lvlJc w:val="left"/>
      <w:pPr>
        <w:ind w:left="1755" w:hanging="172"/>
      </w:pPr>
      <w:rPr>
        <w:rFonts w:hint="default"/>
      </w:rPr>
    </w:lvl>
    <w:lvl w:ilvl="6" w:tplc="84647F58">
      <w:numFmt w:val="bullet"/>
      <w:lvlText w:val="•"/>
      <w:lvlJc w:val="left"/>
      <w:pPr>
        <w:ind w:left="2050" w:hanging="172"/>
      </w:pPr>
      <w:rPr>
        <w:rFonts w:hint="default"/>
      </w:rPr>
    </w:lvl>
    <w:lvl w:ilvl="7" w:tplc="D8781E9C">
      <w:numFmt w:val="bullet"/>
      <w:lvlText w:val="•"/>
      <w:lvlJc w:val="left"/>
      <w:pPr>
        <w:ind w:left="2345" w:hanging="172"/>
      </w:pPr>
      <w:rPr>
        <w:rFonts w:hint="default"/>
      </w:rPr>
    </w:lvl>
    <w:lvl w:ilvl="8" w:tplc="A84CF72C">
      <w:numFmt w:val="bullet"/>
      <w:lvlText w:val="•"/>
      <w:lvlJc w:val="left"/>
      <w:pPr>
        <w:ind w:left="2640" w:hanging="172"/>
      </w:pPr>
      <w:rPr>
        <w:rFonts w:hint="default"/>
      </w:rPr>
    </w:lvl>
  </w:abstractNum>
  <w:abstractNum w:abstractNumId="45" w15:restartNumberingAfterBreak="0">
    <w:nsid w:val="5317569B"/>
    <w:multiLevelType w:val="hybridMultilevel"/>
    <w:tmpl w:val="79089B28"/>
    <w:lvl w:ilvl="0" w:tplc="EF123E7C">
      <w:numFmt w:val="bullet"/>
      <w:lvlText w:val="•"/>
      <w:lvlJc w:val="left"/>
      <w:pPr>
        <w:ind w:left="274" w:hanging="172"/>
      </w:pPr>
      <w:rPr>
        <w:rFonts w:ascii="Calibri" w:eastAsia="Calibri" w:hAnsi="Calibri" w:cs="Calibri" w:hint="default"/>
        <w:color w:val="00A94F"/>
        <w:w w:val="90"/>
        <w:sz w:val="18"/>
        <w:szCs w:val="18"/>
      </w:rPr>
    </w:lvl>
    <w:lvl w:ilvl="1" w:tplc="8D208146">
      <w:numFmt w:val="bullet"/>
      <w:lvlText w:val="•"/>
      <w:lvlJc w:val="left"/>
      <w:pPr>
        <w:ind w:left="494" w:hanging="172"/>
      </w:pPr>
      <w:rPr>
        <w:rFonts w:hint="default"/>
      </w:rPr>
    </w:lvl>
    <w:lvl w:ilvl="2" w:tplc="E1D411FA">
      <w:numFmt w:val="bullet"/>
      <w:lvlText w:val="•"/>
      <w:lvlJc w:val="left"/>
      <w:pPr>
        <w:ind w:left="708" w:hanging="172"/>
      </w:pPr>
      <w:rPr>
        <w:rFonts w:hint="default"/>
      </w:rPr>
    </w:lvl>
    <w:lvl w:ilvl="3" w:tplc="E434638E">
      <w:numFmt w:val="bullet"/>
      <w:lvlText w:val="•"/>
      <w:lvlJc w:val="left"/>
      <w:pPr>
        <w:ind w:left="922" w:hanging="172"/>
      </w:pPr>
      <w:rPr>
        <w:rFonts w:hint="default"/>
      </w:rPr>
    </w:lvl>
    <w:lvl w:ilvl="4" w:tplc="C116168E">
      <w:numFmt w:val="bullet"/>
      <w:lvlText w:val="•"/>
      <w:lvlJc w:val="left"/>
      <w:pPr>
        <w:ind w:left="1136" w:hanging="172"/>
      </w:pPr>
      <w:rPr>
        <w:rFonts w:hint="default"/>
      </w:rPr>
    </w:lvl>
    <w:lvl w:ilvl="5" w:tplc="C20E12E0">
      <w:numFmt w:val="bullet"/>
      <w:lvlText w:val="•"/>
      <w:lvlJc w:val="left"/>
      <w:pPr>
        <w:ind w:left="1350" w:hanging="172"/>
      </w:pPr>
      <w:rPr>
        <w:rFonts w:hint="default"/>
      </w:rPr>
    </w:lvl>
    <w:lvl w:ilvl="6" w:tplc="5E2AD680">
      <w:numFmt w:val="bullet"/>
      <w:lvlText w:val="•"/>
      <w:lvlJc w:val="left"/>
      <w:pPr>
        <w:ind w:left="1564" w:hanging="172"/>
      </w:pPr>
      <w:rPr>
        <w:rFonts w:hint="default"/>
      </w:rPr>
    </w:lvl>
    <w:lvl w:ilvl="7" w:tplc="986E3186">
      <w:numFmt w:val="bullet"/>
      <w:lvlText w:val="•"/>
      <w:lvlJc w:val="left"/>
      <w:pPr>
        <w:ind w:left="1778" w:hanging="172"/>
      </w:pPr>
      <w:rPr>
        <w:rFonts w:hint="default"/>
      </w:rPr>
    </w:lvl>
    <w:lvl w:ilvl="8" w:tplc="2E5A9CA6">
      <w:numFmt w:val="bullet"/>
      <w:lvlText w:val="•"/>
      <w:lvlJc w:val="left"/>
      <w:pPr>
        <w:ind w:left="1992" w:hanging="172"/>
      </w:pPr>
      <w:rPr>
        <w:rFonts w:hint="default"/>
      </w:rPr>
    </w:lvl>
  </w:abstractNum>
  <w:abstractNum w:abstractNumId="46" w15:restartNumberingAfterBreak="0">
    <w:nsid w:val="534F44DF"/>
    <w:multiLevelType w:val="hybridMultilevel"/>
    <w:tmpl w:val="E25A2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42310AC"/>
    <w:multiLevelType w:val="hybridMultilevel"/>
    <w:tmpl w:val="76EA67E2"/>
    <w:lvl w:ilvl="0" w:tplc="D2407A22">
      <w:numFmt w:val="bullet"/>
      <w:lvlText w:val="•"/>
      <w:lvlJc w:val="left"/>
      <w:pPr>
        <w:ind w:left="274" w:hanging="172"/>
      </w:pPr>
      <w:rPr>
        <w:rFonts w:ascii="Calibri" w:eastAsia="Calibri" w:hAnsi="Calibri" w:cs="Calibri" w:hint="default"/>
        <w:color w:val="00A94F"/>
        <w:w w:val="90"/>
        <w:sz w:val="18"/>
        <w:szCs w:val="18"/>
      </w:rPr>
    </w:lvl>
    <w:lvl w:ilvl="1" w:tplc="DEA02AF4">
      <w:numFmt w:val="bullet"/>
      <w:lvlText w:val="•"/>
      <w:lvlJc w:val="left"/>
      <w:pPr>
        <w:ind w:left="494" w:hanging="172"/>
      </w:pPr>
      <w:rPr>
        <w:rFonts w:hint="default"/>
      </w:rPr>
    </w:lvl>
    <w:lvl w:ilvl="2" w:tplc="41363B30">
      <w:numFmt w:val="bullet"/>
      <w:lvlText w:val="•"/>
      <w:lvlJc w:val="left"/>
      <w:pPr>
        <w:ind w:left="708" w:hanging="172"/>
      </w:pPr>
      <w:rPr>
        <w:rFonts w:hint="default"/>
      </w:rPr>
    </w:lvl>
    <w:lvl w:ilvl="3" w:tplc="EE34C026">
      <w:numFmt w:val="bullet"/>
      <w:lvlText w:val="•"/>
      <w:lvlJc w:val="left"/>
      <w:pPr>
        <w:ind w:left="922" w:hanging="172"/>
      </w:pPr>
      <w:rPr>
        <w:rFonts w:hint="default"/>
      </w:rPr>
    </w:lvl>
    <w:lvl w:ilvl="4" w:tplc="28942EDA">
      <w:numFmt w:val="bullet"/>
      <w:lvlText w:val="•"/>
      <w:lvlJc w:val="left"/>
      <w:pPr>
        <w:ind w:left="1136" w:hanging="172"/>
      </w:pPr>
      <w:rPr>
        <w:rFonts w:hint="default"/>
      </w:rPr>
    </w:lvl>
    <w:lvl w:ilvl="5" w:tplc="BAD2A0A6">
      <w:numFmt w:val="bullet"/>
      <w:lvlText w:val="•"/>
      <w:lvlJc w:val="left"/>
      <w:pPr>
        <w:ind w:left="1350" w:hanging="172"/>
      </w:pPr>
      <w:rPr>
        <w:rFonts w:hint="default"/>
      </w:rPr>
    </w:lvl>
    <w:lvl w:ilvl="6" w:tplc="B0E6D6BA">
      <w:numFmt w:val="bullet"/>
      <w:lvlText w:val="•"/>
      <w:lvlJc w:val="left"/>
      <w:pPr>
        <w:ind w:left="1564" w:hanging="172"/>
      </w:pPr>
      <w:rPr>
        <w:rFonts w:hint="default"/>
      </w:rPr>
    </w:lvl>
    <w:lvl w:ilvl="7" w:tplc="42CA8FC0">
      <w:numFmt w:val="bullet"/>
      <w:lvlText w:val="•"/>
      <w:lvlJc w:val="left"/>
      <w:pPr>
        <w:ind w:left="1778" w:hanging="172"/>
      </w:pPr>
      <w:rPr>
        <w:rFonts w:hint="default"/>
      </w:rPr>
    </w:lvl>
    <w:lvl w:ilvl="8" w:tplc="370885FA">
      <w:numFmt w:val="bullet"/>
      <w:lvlText w:val="•"/>
      <w:lvlJc w:val="left"/>
      <w:pPr>
        <w:ind w:left="1992" w:hanging="172"/>
      </w:pPr>
      <w:rPr>
        <w:rFonts w:hint="default"/>
      </w:rPr>
    </w:lvl>
  </w:abstractNum>
  <w:abstractNum w:abstractNumId="48" w15:restartNumberingAfterBreak="0">
    <w:nsid w:val="552F3706"/>
    <w:multiLevelType w:val="hybridMultilevel"/>
    <w:tmpl w:val="46966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066C47"/>
    <w:multiLevelType w:val="hybridMultilevel"/>
    <w:tmpl w:val="72083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9251DCE"/>
    <w:multiLevelType w:val="hybridMultilevel"/>
    <w:tmpl w:val="7D721A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A831548"/>
    <w:multiLevelType w:val="hybridMultilevel"/>
    <w:tmpl w:val="2EF4A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B216CA"/>
    <w:multiLevelType w:val="hybridMultilevel"/>
    <w:tmpl w:val="CE38E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D71122"/>
    <w:multiLevelType w:val="hybridMultilevel"/>
    <w:tmpl w:val="688653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C1B47B9"/>
    <w:multiLevelType w:val="hybridMultilevel"/>
    <w:tmpl w:val="804EC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492920"/>
    <w:multiLevelType w:val="hybridMultilevel"/>
    <w:tmpl w:val="E7C63C6E"/>
    <w:lvl w:ilvl="0" w:tplc="A16E8D08">
      <w:numFmt w:val="bullet"/>
      <w:lvlText w:val="•"/>
      <w:lvlJc w:val="left"/>
      <w:pPr>
        <w:ind w:left="274" w:hanging="172"/>
      </w:pPr>
      <w:rPr>
        <w:rFonts w:ascii="Calibri" w:eastAsia="Calibri" w:hAnsi="Calibri" w:cs="Calibri" w:hint="default"/>
        <w:color w:val="00A94F"/>
        <w:w w:val="90"/>
        <w:sz w:val="18"/>
        <w:szCs w:val="18"/>
      </w:rPr>
    </w:lvl>
    <w:lvl w:ilvl="1" w:tplc="0ECC2C60">
      <w:numFmt w:val="bullet"/>
      <w:lvlText w:val="•"/>
      <w:lvlJc w:val="left"/>
      <w:pPr>
        <w:ind w:left="701" w:hanging="172"/>
      </w:pPr>
      <w:rPr>
        <w:rFonts w:hint="default"/>
      </w:rPr>
    </w:lvl>
    <w:lvl w:ilvl="2" w:tplc="C4847222">
      <w:numFmt w:val="bullet"/>
      <w:lvlText w:val="•"/>
      <w:lvlJc w:val="left"/>
      <w:pPr>
        <w:ind w:left="1122" w:hanging="172"/>
      </w:pPr>
      <w:rPr>
        <w:rFonts w:hint="default"/>
      </w:rPr>
    </w:lvl>
    <w:lvl w:ilvl="3" w:tplc="DE064AC2">
      <w:numFmt w:val="bullet"/>
      <w:lvlText w:val="•"/>
      <w:lvlJc w:val="left"/>
      <w:pPr>
        <w:ind w:left="1543" w:hanging="172"/>
      </w:pPr>
      <w:rPr>
        <w:rFonts w:hint="default"/>
      </w:rPr>
    </w:lvl>
    <w:lvl w:ilvl="4" w:tplc="75DAA5FA">
      <w:numFmt w:val="bullet"/>
      <w:lvlText w:val="•"/>
      <w:lvlJc w:val="left"/>
      <w:pPr>
        <w:ind w:left="1964" w:hanging="172"/>
      </w:pPr>
      <w:rPr>
        <w:rFonts w:hint="default"/>
      </w:rPr>
    </w:lvl>
    <w:lvl w:ilvl="5" w:tplc="1A9E863C">
      <w:numFmt w:val="bullet"/>
      <w:lvlText w:val="•"/>
      <w:lvlJc w:val="left"/>
      <w:pPr>
        <w:ind w:left="2385" w:hanging="172"/>
      </w:pPr>
      <w:rPr>
        <w:rFonts w:hint="default"/>
      </w:rPr>
    </w:lvl>
    <w:lvl w:ilvl="6" w:tplc="3A869532">
      <w:numFmt w:val="bullet"/>
      <w:lvlText w:val="•"/>
      <w:lvlJc w:val="left"/>
      <w:pPr>
        <w:ind w:left="2806" w:hanging="172"/>
      </w:pPr>
      <w:rPr>
        <w:rFonts w:hint="default"/>
      </w:rPr>
    </w:lvl>
    <w:lvl w:ilvl="7" w:tplc="075A736A">
      <w:numFmt w:val="bullet"/>
      <w:lvlText w:val="•"/>
      <w:lvlJc w:val="left"/>
      <w:pPr>
        <w:ind w:left="3227" w:hanging="172"/>
      </w:pPr>
      <w:rPr>
        <w:rFonts w:hint="default"/>
      </w:rPr>
    </w:lvl>
    <w:lvl w:ilvl="8" w:tplc="1D08466A">
      <w:numFmt w:val="bullet"/>
      <w:lvlText w:val="•"/>
      <w:lvlJc w:val="left"/>
      <w:pPr>
        <w:ind w:left="3648" w:hanging="172"/>
      </w:pPr>
      <w:rPr>
        <w:rFonts w:hint="default"/>
      </w:rPr>
    </w:lvl>
  </w:abstractNum>
  <w:abstractNum w:abstractNumId="56" w15:restartNumberingAfterBreak="0">
    <w:nsid w:val="5DC10696"/>
    <w:multiLevelType w:val="hybridMultilevel"/>
    <w:tmpl w:val="DF3C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A650FE"/>
    <w:multiLevelType w:val="hybridMultilevel"/>
    <w:tmpl w:val="B114C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731F0"/>
    <w:multiLevelType w:val="hybridMultilevel"/>
    <w:tmpl w:val="E0F0DDB6"/>
    <w:lvl w:ilvl="0" w:tplc="16CCD058">
      <w:numFmt w:val="bullet"/>
      <w:lvlText w:val="•"/>
      <w:lvlJc w:val="left"/>
      <w:pPr>
        <w:ind w:left="274" w:hanging="172"/>
      </w:pPr>
      <w:rPr>
        <w:rFonts w:ascii="Calibri" w:eastAsia="Calibri" w:hAnsi="Calibri" w:cs="Calibri" w:hint="default"/>
        <w:color w:val="00A94F"/>
        <w:w w:val="90"/>
        <w:sz w:val="18"/>
        <w:szCs w:val="18"/>
      </w:rPr>
    </w:lvl>
    <w:lvl w:ilvl="1" w:tplc="7F8C8626">
      <w:numFmt w:val="bullet"/>
      <w:lvlText w:val="•"/>
      <w:lvlJc w:val="left"/>
      <w:pPr>
        <w:ind w:left="602" w:hanging="172"/>
      </w:pPr>
      <w:rPr>
        <w:rFonts w:hint="default"/>
      </w:rPr>
    </w:lvl>
    <w:lvl w:ilvl="2" w:tplc="0A746FB8">
      <w:numFmt w:val="bullet"/>
      <w:lvlText w:val="•"/>
      <w:lvlJc w:val="left"/>
      <w:pPr>
        <w:ind w:left="924" w:hanging="172"/>
      </w:pPr>
      <w:rPr>
        <w:rFonts w:hint="default"/>
      </w:rPr>
    </w:lvl>
    <w:lvl w:ilvl="3" w:tplc="7326D270">
      <w:numFmt w:val="bullet"/>
      <w:lvlText w:val="•"/>
      <w:lvlJc w:val="left"/>
      <w:pPr>
        <w:ind w:left="1246" w:hanging="172"/>
      </w:pPr>
      <w:rPr>
        <w:rFonts w:hint="default"/>
      </w:rPr>
    </w:lvl>
    <w:lvl w:ilvl="4" w:tplc="9F62E8FE">
      <w:numFmt w:val="bullet"/>
      <w:lvlText w:val="•"/>
      <w:lvlJc w:val="left"/>
      <w:pPr>
        <w:ind w:left="1568" w:hanging="172"/>
      </w:pPr>
      <w:rPr>
        <w:rFonts w:hint="default"/>
      </w:rPr>
    </w:lvl>
    <w:lvl w:ilvl="5" w:tplc="1D06ED44">
      <w:numFmt w:val="bullet"/>
      <w:lvlText w:val="•"/>
      <w:lvlJc w:val="left"/>
      <w:pPr>
        <w:ind w:left="1890" w:hanging="172"/>
      </w:pPr>
      <w:rPr>
        <w:rFonts w:hint="default"/>
      </w:rPr>
    </w:lvl>
    <w:lvl w:ilvl="6" w:tplc="ECBC8550">
      <w:numFmt w:val="bullet"/>
      <w:lvlText w:val="•"/>
      <w:lvlJc w:val="left"/>
      <w:pPr>
        <w:ind w:left="2212" w:hanging="172"/>
      </w:pPr>
      <w:rPr>
        <w:rFonts w:hint="default"/>
      </w:rPr>
    </w:lvl>
    <w:lvl w:ilvl="7" w:tplc="C6F2E0CC">
      <w:numFmt w:val="bullet"/>
      <w:lvlText w:val="•"/>
      <w:lvlJc w:val="left"/>
      <w:pPr>
        <w:ind w:left="2534" w:hanging="172"/>
      </w:pPr>
      <w:rPr>
        <w:rFonts w:hint="default"/>
      </w:rPr>
    </w:lvl>
    <w:lvl w:ilvl="8" w:tplc="A204FEB6">
      <w:numFmt w:val="bullet"/>
      <w:lvlText w:val="•"/>
      <w:lvlJc w:val="left"/>
      <w:pPr>
        <w:ind w:left="2856" w:hanging="172"/>
      </w:pPr>
      <w:rPr>
        <w:rFonts w:hint="default"/>
      </w:rPr>
    </w:lvl>
  </w:abstractNum>
  <w:abstractNum w:abstractNumId="59" w15:restartNumberingAfterBreak="0">
    <w:nsid w:val="61B945BF"/>
    <w:multiLevelType w:val="multilevel"/>
    <w:tmpl w:val="53264F74"/>
    <w:lvl w:ilvl="0">
      <w:start w:val="5"/>
      <w:numFmt w:val="decimal"/>
      <w:lvlText w:val="%1"/>
      <w:lvlJc w:val="left"/>
      <w:pPr>
        <w:ind w:left="435" w:hanging="435"/>
      </w:pPr>
      <w:rPr>
        <w:rFonts w:ascii="Calibri" w:eastAsia="Calibri" w:hAnsi="Calibri" w:cs="Calibri" w:hint="default"/>
      </w:rPr>
    </w:lvl>
    <w:lvl w:ilvl="1">
      <w:start w:val="4"/>
      <w:numFmt w:val="decimal"/>
      <w:lvlText w:val="%1.%2"/>
      <w:lvlJc w:val="left"/>
      <w:pPr>
        <w:ind w:left="390" w:hanging="435"/>
      </w:pPr>
      <w:rPr>
        <w:rFonts w:ascii="Calibri" w:eastAsia="Calibri" w:hAnsi="Calibri" w:cs="Calibri" w:hint="default"/>
      </w:rPr>
    </w:lvl>
    <w:lvl w:ilvl="2">
      <w:start w:val="2"/>
      <w:numFmt w:val="decimal"/>
      <w:lvlText w:val="%1.%2.%3"/>
      <w:lvlJc w:val="left"/>
      <w:pPr>
        <w:ind w:left="1170" w:hanging="720"/>
      </w:pPr>
      <w:rPr>
        <w:rFonts w:ascii="Calibri" w:eastAsia="Calibri" w:hAnsi="Calibri" w:cs="Calibri" w:hint="default"/>
        <w:b/>
      </w:rPr>
    </w:lvl>
    <w:lvl w:ilvl="3">
      <w:start w:val="1"/>
      <w:numFmt w:val="decimal"/>
      <w:lvlText w:val="%1.%2.%3.%4"/>
      <w:lvlJc w:val="left"/>
      <w:pPr>
        <w:ind w:left="585" w:hanging="720"/>
      </w:pPr>
      <w:rPr>
        <w:rFonts w:ascii="Calibri" w:eastAsia="Calibri" w:hAnsi="Calibri" w:cs="Calibri" w:hint="default"/>
      </w:rPr>
    </w:lvl>
    <w:lvl w:ilvl="4">
      <w:start w:val="1"/>
      <w:numFmt w:val="decimal"/>
      <w:lvlText w:val="%1.%2.%3.%4.%5"/>
      <w:lvlJc w:val="left"/>
      <w:pPr>
        <w:ind w:left="900" w:hanging="1080"/>
      </w:pPr>
      <w:rPr>
        <w:rFonts w:ascii="Calibri" w:eastAsia="Calibri" w:hAnsi="Calibri" w:cs="Calibri" w:hint="default"/>
      </w:rPr>
    </w:lvl>
    <w:lvl w:ilvl="5">
      <w:start w:val="1"/>
      <w:numFmt w:val="decimal"/>
      <w:lvlText w:val="%1.%2.%3.%4.%5.%6"/>
      <w:lvlJc w:val="left"/>
      <w:pPr>
        <w:ind w:left="855" w:hanging="1080"/>
      </w:pPr>
      <w:rPr>
        <w:rFonts w:ascii="Calibri" w:eastAsia="Calibri" w:hAnsi="Calibri" w:cs="Calibri" w:hint="default"/>
      </w:rPr>
    </w:lvl>
    <w:lvl w:ilvl="6">
      <w:start w:val="1"/>
      <w:numFmt w:val="decimal"/>
      <w:lvlText w:val="%1.%2.%3.%4.%5.%6.%7"/>
      <w:lvlJc w:val="left"/>
      <w:pPr>
        <w:ind w:left="1170" w:hanging="1440"/>
      </w:pPr>
      <w:rPr>
        <w:rFonts w:ascii="Calibri" w:eastAsia="Calibri" w:hAnsi="Calibri" w:cs="Calibri" w:hint="default"/>
      </w:rPr>
    </w:lvl>
    <w:lvl w:ilvl="7">
      <w:start w:val="1"/>
      <w:numFmt w:val="decimal"/>
      <w:lvlText w:val="%1.%2.%3.%4.%5.%6.%7.%8"/>
      <w:lvlJc w:val="left"/>
      <w:pPr>
        <w:ind w:left="1125" w:hanging="1440"/>
      </w:pPr>
      <w:rPr>
        <w:rFonts w:ascii="Calibri" w:eastAsia="Calibri" w:hAnsi="Calibri" w:cs="Calibri" w:hint="default"/>
      </w:rPr>
    </w:lvl>
    <w:lvl w:ilvl="8">
      <w:start w:val="1"/>
      <w:numFmt w:val="decimal"/>
      <w:lvlText w:val="%1.%2.%3.%4.%5.%6.%7.%8.%9"/>
      <w:lvlJc w:val="left"/>
      <w:pPr>
        <w:ind w:left="1440" w:hanging="1800"/>
      </w:pPr>
      <w:rPr>
        <w:rFonts w:ascii="Calibri" w:eastAsia="Calibri" w:hAnsi="Calibri" w:cs="Calibri" w:hint="default"/>
      </w:rPr>
    </w:lvl>
  </w:abstractNum>
  <w:abstractNum w:abstractNumId="60" w15:restartNumberingAfterBreak="0">
    <w:nsid w:val="658727E4"/>
    <w:multiLevelType w:val="hybridMultilevel"/>
    <w:tmpl w:val="2560311C"/>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CC06A092">
      <w:start w:val="1"/>
      <w:numFmt w:val="decimal"/>
      <w:lvlText w:val="%4."/>
      <w:lvlJc w:val="left"/>
      <w:pPr>
        <w:ind w:left="2880" w:hanging="360"/>
      </w:pPr>
    </w:lvl>
    <w:lvl w:ilvl="4" w:tplc="72022E32">
      <w:start w:val="1"/>
      <w:numFmt w:val="lowerLetter"/>
      <w:lvlText w:val="%5."/>
      <w:lvlJc w:val="left"/>
      <w:pPr>
        <w:ind w:left="3600" w:hanging="360"/>
      </w:pPr>
    </w:lvl>
    <w:lvl w:ilvl="5" w:tplc="A5264CC6">
      <w:start w:val="1"/>
      <w:numFmt w:val="lowerRoman"/>
      <w:lvlText w:val="%6."/>
      <w:lvlJc w:val="right"/>
      <w:pPr>
        <w:ind w:left="4320" w:hanging="180"/>
      </w:pPr>
    </w:lvl>
    <w:lvl w:ilvl="6" w:tplc="C5584F10">
      <w:start w:val="1"/>
      <w:numFmt w:val="decimal"/>
      <w:lvlText w:val="%7."/>
      <w:lvlJc w:val="left"/>
      <w:pPr>
        <w:ind w:left="5040" w:hanging="360"/>
      </w:pPr>
    </w:lvl>
    <w:lvl w:ilvl="7" w:tplc="AEAA1B74">
      <w:start w:val="1"/>
      <w:numFmt w:val="lowerLetter"/>
      <w:lvlText w:val="%8."/>
      <w:lvlJc w:val="left"/>
      <w:pPr>
        <w:ind w:left="5760" w:hanging="360"/>
      </w:pPr>
    </w:lvl>
    <w:lvl w:ilvl="8" w:tplc="A91C014E">
      <w:start w:val="1"/>
      <w:numFmt w:val="lowerRoman"/>
      <w:lvlText w:val="%9."/>
      <w:lvlJc w:val="right"/>
      <w:pPr>
        <w:ind w:left="6480" w:hanging="180"/>
      </w:pPr>
    </w:lvl>
  </w:abstractNum>
  <w:abstractNum w:abstractNumId="61" w15:restartNumberingAfterBreak="0">
    <w:nsid w:val="670327F7"/>
    <w:multiLevelType w:val="hybridMultilevel"/>
    <w:tmpl w:val="ACF0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D335AB"/>
    <w:multiLevelType w:val="hybridMultilevel"/>
    <w:tmpl w:val="1E864ABA"/>
    <w:lvl w:ilvl="0" w:tplc="54E2D0A0">
      <w:numFmt w:val="bullet"/>
      <w:lvlText w:val="•"/>
      <w:lvlJc w:val="left"/>
      <w:pPr>
        <w:ind w:left="274" w:hanging="172"/>
      </w:pPr>
      <w:rPr>
        <w:rFonts w:ascii="Calibri" w:eastAsia="Calibri" w:hAnsi="Calibri" w:cs="Calibri" w:hint="default"/>
        <w:color w:val="00A94F"/>
        <w:w w:val="90"/>
        <w:sz w:val="18"/>
        <w:szCs w:val="18"/>
      </w:rPr>
    </w:lvl>
    <w:lvl w:ilvl="1" w:tplc="29343B62">
      <w:numFmt w:val="bullet"/>
      <w:lvlText w:val="o"/>
      <w:lvlJc w:val="left"/>
      <w:pPr>
        <w:ind w:left="453" w:hanging="171"/>
      </w:pPr>
      <w:rPr>
        <w:rFonts w:ascii="Arial" w:eastAsia="Arial" w:hAnsi="Arial" w:cs="Arial" w:hint="default"/>
        <w:color w:val="1C3E94"/>
        <w:w w:val="90"/>
        <w:sz w:val="16"/>
        <w:szCs w:val="16"/>
      </w:rPr>
    </w:lvl>
    <w:lvl w:ilvl="2" w:tplc="AA74BE5A">
      <w:numFmt w:val="bullet"/>
      <w:lvlText w:val="•"/>
      <w:lvlJc w:val="left"/>
      <w:pPr>
        <w:ind w:left="877" w:hanging="171"/>
      </w:pPr>
      <w:rPr>
        <w:rFonts w:hint="default"/>
      </w:rPr>
    </w:lvl>
    <w:lvl w:ilvl="3" w:tplc="15B8730A">
      <w:numFmt w:val="bullet"/>
      <w:lvlText w:val="•"/>
      <w:lvlJc w:val="left"/>
      <w:pPr>
        <w:ind w:left="1295" w:hanging="171"/>
      </w:pPr>
      <w:rPr>
        <w:rFonts w:hint="default"/>
      </w:rPr>
    </w:lvl>
    <w:lvl w:ilvl="4" w:tplc="A68A7480">
      <w:numFmt w:val="bullet"/>
      <w:lvlText w:val="•"/>
      <w:lvlJc w:val="left"/>
      <w:pPr>
        <w:ind w:left="1713" w:hanging="171"/>
      </w:pPr>
      <w:rPr>
        <w:rFonts w:hint="default"/>
      </w:rPr>
    </w:lvl>
    <w:lvl w:ilvl="5" w:tplc="E45C5298">
      <w:numFmt w:val="bullet"/>
      <w:lvlText w:val="•"/>
      <w:lvlJc w:val="left"/>
      <w:pPr>
        <w:ind w:left="2131" w:hanging="171"/>
      </w:pPr>
      <w:rPr>
        <w:rFonts w:hint="default"/>
      </w:rPr>
    </w:lvl>
    <w:lvl w:ilvl="6" w:tplc="F29CD346">
      <w:numFmt w:val="bullet"/>
      <w:lvlText w:val="•"/>
      <w:lvlJc w:val="left"/>
      <w:pPr>
        <w:ind w:left="2548" w:hanging="171"/>
      </w:pPr>
      <w:rPr>
        <w:rFonts w:hint="default"/>
      </w:rPr>
    </w:lvl>
    <w:lvl w:ilvl="7" w:tplc="BBB8F49E">
      <w:numFmt w:val="bullet"/>
      <w:lvlText w:val="•"/>
      <w:lvlJc w:val="left"/>
      <w:pPr>
        <w:ind w:left="2966" w:hanging="171"/>
      </w:pPr>
      <w:rPr>
        <w:rFonts w:hint="default"/>
      </w:rPr>
    </w:lvl>
    <w:lvl w:ilvl="8" w:tplc="16AAF5C8">
      <w:numFmt w:val="bullet"/>
      <w:lvlText w:val="•"/>
      <w:lvlJc w:val="left"/>
      <w:pPr>
        <w:ind w:left="3384" w:hanging="171"/>
      </w:pPr>
      <w:rPr>
        <w:rFonts w:hint="default"/>
      </w:rPr>
    </w:lvl>
  </w:abstractNum>
  <w:abstractNum w:abstractNumId="63" w15:restartNumberingAfterBreak="0">
    <w:nsid w:val="6B171B83"/>
    <w:multiLevelType w:val="hybridMultilevel"/>
    <w:tmpl w:val="3F18E6C0"/>
    <w:lvl w:ilvl="0" w:tplc="D690E02A">
      <w:numFmt w:val="bullet"/>
      <w:lvlText w:val="•"/>
      <w:lvlJc w:val="left"/>
      <w:pPr>
        <w:ind w:left="274" w:hanging="172"/>
      </w:pPr>
      <w:rPr>
        <w:rFonts w:ascii="Calibri" w:eastAsia="Calibri" w:hAnsi="Calibri" w:cs="Calibri" w:hint="default"/>
        <w:color w:val="00A94F"/>
        <w:w w:val="90"/>
        <w:sz w:val="18"/>
        <w:szCs w:val="18"/>
      </w:rPr>
    </w:lvl>
    <w:lvl w:ilvl="1" w:tplc="35101E2E">
      <w:numFmt w:val="bullet"/>
      <w:lvlText w:val="•"/>
      <w:lvlJc w:val="left"/>
      <w:pPr>
        <w:ind w:left="494" w:hanging="172"/>
      </w:pPr>
      <w:rPr>
        <w:rFonts w:hint="default"/>
      </w:rPr>
    </w:lvl>
    <w:lvl w:ilvl="2" w:tplc="40928DE4">
      <w:numFmt w:val="bullet"/>
      <w:lvlText w:val="•"/>
      <w:lvlJc w:val="left"/>
      <w:pPr>
        <w:ind w:left="708" w:hanging="172"/>
      </w:pPr>
      <w:rPr>
        <w:rFonts w:hint="default"/>
      </w:rPr>
    </w:lvl>
    <w:lvl w:ilvl="3" w:tplc="CC7063C6">
      <w:numFmt w:val="bullet"/>
      <w:lvlText w:val="•"/>
      <w:lvlJc w:val="left"/>
      <w:pPr>
        <w:ind w:left="922" w:hanging="172"/>
      </w:pPr>
      <w:rPr>
        <w:rFonts w:hint="default"/>
      </w:rPr>
    </w:lvl>
    <w:lvl w:ilvl="4" w:tplc="3BB4F650">
      <w:numFmt w:val="bullet"/>
      <w:lvlText w:val="•"/>
      <w:lvlJc w:val="left"/>
      <w:pPr>
        <w:ind w:left="1136" w:hanging="172"/>
      </w:pPr>
      <w:rPr>
        <w:rFonts w:hint="default"/>
      </w:rPr>
    </w:lvl>
    <w:lvl w:ilvl="5" w:tplc="2618F124">
      <w:numFmt w:val="bullet"/>
      <w:lvlText w:val="•"/>
      <w:lvlJc w:val="left"/>
      <w:pPr>
        <w:ind w:left="1350" w:hanging="172"/>
      </w:pPr>
      <w:rPr>
        <w:rFonts w:hint="default"/>
      </w:rPr>
    </w:lvl>
    <w:lvl w:ilvl="6" w:tplc="96D275C4">
      <w:numFmt w:val="bullet"/>
      <w:lvlText w:val="•"/>
      <w:lvlJc w:val="left"/>
      <w:pPr>
        <w:ind w:left="1564" w:hanging="172"/>
      </w:pPr>
      <w:rPr>
        <w:rFonts w:hint="default"/>
      </w:rPr>
    </w:lvl>
    <w:lvl w:ilvl="7" w:tplc="3FE49A90">
      <w:numFmt w:val="bullet"/>
      <w:lvlText w:val="•"/>
      <w:lvlJc w:val="left"/>
      <w:pPr>
        <w:ind w:left="1778" w:hanging="172"/>
      </w:pPr>
      <w:rPr>
        <w:rFonts w:hint="default"/>
      </w:rPr>
    </w:lvl>
    <w:lvl w:ilvl="8" w:tplc="FB00CFF2">
      <w:numFmt w:val="bullet"/>
      <w:lvlText w:val="•"/>
      <w:lvlJc w:val="left"/>
      <w:pPr>
        <w:ind w:left="1992" w:hanging="172"/>
      </w:pPr>
      <w:rPr>
        <w:rFonts w:hint="default"/>
      </w:rPr>
    </w:lvl>
  </w:abstractNum>
  <w:abstractNum w:abstractNumId="64" w15:restartNumberingAfterBreak="0">
    <w:nsid w:val="6D5361C3"/>
    <w:multiLevelType w:val="hybridMultilevel"/>
    <w:tmpl w:val="752CB10C"/>
    <w:lvl w:ilvl="0" w:tplc="A68A80C4">
      <w:numFmt w:val="bullet"/>
      <w:lvlText w:val="•"/>
      <w:lvlJc w:val="left"/>
      <w:pPr>
        <w:ind w:left="274" w:hanging="172"/>
      </w:pPr>
      <w:rPr>
        <w:rFonts w:ascii="Calibri" w:eastAsia="Calibri" w:hAnsi="Calibri" w:cs="Calibri" w:hint="default"/>
        <w:color w:val="00A94F"/>
        <w:w w:val="90"/>
        <w:sz w:val="18"/>
        <w:szCs w:val="18"/>
      </w:rPr>
    </w:lvl>
    <w:lvl w:ilvl="1" w:tplc="475AD68E">
      <w:numFmt w:val="bullet"/>
      <w:lvlText w:val="•"/>
      <w:lvlJc w:val="left"/>
      <w:pPr>
        <w:ind w:left="494" w:hanging="172"/>
      </w:pPr>
      <w:rPr>
        <w:rFonts w:hint="default"/>
      </w:rPr>
    </w:lvl>
    <w:lvl w:ilvl="2" w:tplc="A6547ED0">
      <w:numFmt w:val="bullet"/>
      <w:lvlText w:val="•"/>
      <w:lvlJc w:val="left"/>
      <w:pPr>
        <w:ind w:left="708" w:hanging="172"/>
      </w:pPr>
      <w:rPr>
        <w:rFonts w:hint="default"/>
      </w:rPr>
    </w:lvl>
    <w:lvl w:ilvl="3" w:tplc="62F8518E">
      <w:numFmt w:val="bullet"/>
      <w:lvlText w:val="•"/>
      <w:lvlJc w:val="left"/>
      <w:pPr>
        <w:ind w:left="922" w:hanging="172"/>
      </w:pPr>
      <w:rPr>
        <w:rFonts w:hint="default"/>
      </w:rPr>
    </w:lvl>
    <w:lvl w:ilvl="4" w:tplc="36CECB8E">
      <w:numFmt w:val="bullet"/>
      <w:lvlText w:val="•"/>
      <w:lvlJc w:val="left"/>
      <w:pPr>
        <w:ind w:left="1136" w:hanging="172"/>
      </w:pPr>
      <w:rPr>
        <w:rFonts w:hint="default"/>
      </w:rPr>
    </w:lvl>
    <w:lvl w:ilvl="5" w:tplc="7AF45A04">
      <w:numFmt w:val="bullet"/>
      <w:lvlText w:val="•"/>
      <w:lvlJc w:val="left"/>
      <w:pPr>
        <w:ind w:left="1350" w:hanging="172"/>
      </w:pPr>
      <w:rPr>
        <w:rFonts w:hint="default"/>
      </w:rPr>
    </w:lvl>
    <w:lvl w:ilvl="6" w:tplc="C1BE3D82">
      <w:numFmt w:val="bullet"/>
      <w:lvlText w:val="•"/>
      <w:lvlJc w:val="left"/>
      <w:pPr>
        <w:ind w:left="1564" w:hanging="172"/>
      </w:pPr>
      <w:rPr>
        <w:rFonts w:hint="default"/>
      </w:rPr>
    </w:lvl>
    <w:lvl w:ilvl="7" w:tplc="201E7570">
      <w:numFmt w:val="bullet"/>
      <w:lvlText w:val="•"/>
      <w:lvlJc w:val="left"/>
      <w:pPr>
        <w:ind w:left="1778" w:hanging="172"/>
      </w:pPr>
      <w:rPr>
        <w:rFonts w:hint="default"/>
      </w:rPr>
    </w:lvl>
    <w:lvl w:ilvl="8" w:tplc="C80C030E">
      <w:numFmt w:val="bullet"/>
      <w:lvlText w:val="•"/>
      <w:lvlJc w:val="left"/>
      <w:pPr>
        <w:ind w:left="1992" w:hanging="172"/>
      </w:pPr>
      <w:rPr>
        <w:rFonts w:hint="default"/>
      </w:rPr>
    </w:lvl>
  </w:abstractNum>
  <w:abstractNum w:abstractNumId="65" w15:restartNumberingAfterBreak="0">
    <w:nsid w:val="6F061A4E"/>
    <w:multiLevelType w:val="hybridMultilevel"/>
    <w:tmpl w:val="CA0A6A2E"/>
    <w:lvl w:ilvl="0" w:tplc="DAEC322A">
      <w:numFmt w:val="bullet"/>
      <w:lvlText w:val="•"/>
      <w:lvlJc w:val="left"/>
      <w:pPr>
        <w:ind w:left="274" w:hanging="172"/>
      </w:pPr>
      <w:rPr>
        <w:rFonts w:ascii="Calibri" w:eastAsia="Calibri" w:hAnsi="Calibri" w:cs="Calibri" w:hint="default"/>
        <w:color w:val="00A94F"/>
        <w:w w:val="90"/>
        <w:sz w:val="18"/>
        <w:szCs w:val="18"/>
      </w:rPr>
    </w:lvl>
    <w:lvl w:ilvl="1" w:tplc="BF8CD7AA">
      <w:numFmt w:val="bullet"/>
      <w:lvlText w:val="•"/>
      <w:lvlJc w:val="left"/>
      <w:pPr>
        <w:ind w:left="674" w:hanging="172"/>
      </w:pPr>
      <w:rPr>
        <w:rFonts w:hint="default"/>
      </w:rPr>
    </w:lvl>
    <w:lvl w:ilvl="2" w:tplc="46FA3F00">
      <w:numFmt w:val="bullet"/>
      <w:lvlText w:val="•"/>
      <w:lvlJc w:val="left"/>
      <w:pPr>
        <w:ind w:left="1068" w:hanging="172"/>
      </w:pPr>
      <w:rPr>
        <w:rFonts w:hint="default"/>
      </w:rPr>
    </w:lvl>
    <w:lvl w:ilvl="3" w:tplc="7264D2BA">
      <w:numFmt w:val="bullet"/>
      <w:lvlText w:val="•"/>
      <w:lvlJc w:val="left"/>
      <w:pPr>
        <w:ind w:left="1462" w:hanging="172"/>
      </w:pPr>
      <w:rPr>
        <w:rFonts w:hint="default"/>
      </w:rPr>
    </w:lvl>
    <w:lvl w:ilvl="4" w:tplc="C87493BA">
      <w:numFmt w:val="bullet"/>
      <w:lvlText w:val="•"/>
      <w:lvlJc w:val="left"/>
      <w:pPr>
        <w:ind w:left="1856" w:hanging="172"/>
      </w:pPr>
      <w:rPr>
        <w:rFonts w:hint="default"/>
      </w:rPr>
    </w:lvl>
    <w:lvl w:ilvl="5" w:tplc="BADAE4AE">
      <w:numFmt w:val="bullet"/>
      <w:lvlText w:val="•"/>
      <w:lvlJc w:val="left"/>
      <w:pPr>
        <w:ind w:left="2250" w:hanging="172"/>
      </w:pPr>
      <w:rPr>
        <w:rFonts w:hint="default"/>
      </w:rPr>
    </w:lvl>
    <w:lvl w:ilvl="6" w:tplc="A2D43430">
      <w:numFmt w:val="bullet"/>
      <w:lvlText w:val="•"/>
      <w:lvlJc w:val="left"/>
      <w:pPr>
        <w:ind w:left="2644" w:hanging="172"/>
      </w:pPr>
      <w:rPr>
        <w:rFonts w:hint="default"/>
      </w:rPr>
    </w:lvl>
    <w:lvl w:ilvl="7" w:tplc="8BF6E138">
      <w:numFmt w:val="bullet"/>
      <w:lvlText w:val="•"/>
      <w:lvlJc w:val="left"/>
      <w:pPr>
        <w:ind w:left="3038" w:hanging="172"/>
      </w:pPr>
      <w:rPr>
        <w:rFonts w:hint="default"/>
      </w:rPr>
    </w:lvl>
    <w:lvl w:ilvl="8" w:tplc="C3868D16">
      <w:numFmt w:val="bullet"/>
      <w:lvlText w:val="•"/>
      <w:lvlJc w:val="left"/>
      <w:pPr>
        <w:ind w:left="3432" w:hanging="172"/>
      </w:pPr>
      <w:rPr>
        <w:rFonts w:hint="default"/>
      </w:rPr>
    </w:lvl>
  </w:abstractNum>
  <w:abstractNum w:abstractNumId="66" w15:restartNumberingAfterBreak="0">
    <w:nsid w:val="6FBB32AC"/>
    <w:multiLevelType w:val="hybridMultilevel"/>
    <w:tmpl w:val="42BA5182"/>
    <w:lvl w:ilvl="0" w:tplc="5966F666">
      <w:numFmt w:val="bullet"/>
      <w:lvlText w:val="•"/>
      <w:lvlJc w:val="left"/>
      <w:pPr>
        <w:ind w:left="274" w:hanging="172"/>
      </w:pPr>
      <w:rPr>
        <w:rFonts w:ascii="Calibri" w:eastAsia="Calibri" w:hAnsi="Calibri" w:cs="Calibri" w:hint="default"/>
        <w:color w:val="00A94F"/>
        <w:w w:val="90"/>
        <w:sz w:val="18"/>
        <w:szCs w:val="18"/>
      </w:rPr>
    </w:lvl>
    <w:lvl w:ilvl="1" w:tplc="6A747BCE">
      <w:numFmt w:val="bullet"/>
      <w:lvlText w:val="•"/>
      <w:lvlJc w:val="left"/>
      <w:pPr>
        <w:ind w:left="575" w:hanging="172"/>
      </w:pPr>
      <w:rPr>
        <w:rFonts w:hint="default"/>
      </w:rPr>
    </w:lvl>
    <w:lvl w:ilvl="2" w:tplc="15CCB922">
      <w:numFmt w:val="bullet"/>
      <w:lvlText w:val="•"/>
      <w:lvlJc w:val="left"/>
      <w:pPr>
        <w:ind w:left="870" w:hanging="172"/>
      </w:pPr>
      <w:rPr>
        <w:rFonts w:hint="default"/>
      </w:rPr>
    </w:lvl>
    <w:lvl w:ilvl="3" w:tplc="CD2CA8B2">
      <w:numFmt w:val="bullet"/>
      <w:lvlText w:val="•"/>
      <w:lvlJc w:val="left"/>
      <w:pPr>
        <w:ind w:left="1165" w:hanging="172"/>
      </w:pPr>
      <w:rPr>
        <w:rFonts w:hint="default"/>
      </w:rPr>
    </w:lvl>
    <w:lvl w:ilvl="4" w:tplc="2828EE36">
      <w:numFmt w:val="bullet"/>
      <w:lvlText w:val="•"/>
      <w:lvlJc w:val="left"/>
      <w:pPr>
        <w:ind w:left="1460" w:hanging="172"/>
      </w:pPr>
      <w:rPr>
        <w:rFonts w:hint="default"/>
      </w:rPr>
    </w:lvl>
    <w:lvl w:ilvl="5" w:tplc="23B682C8">
      <w:numFmt w:val="bullet"/>
      <w:lvlText w:val="•"/>
      <w:lvlJc w:val="left"/>
      <w:pPr>
        <w:ind w:left="1755" w:hanging="172"/>
      </w:pPr>
      <w:rPr>
        <w:rFonts w:hint="default"/>
      </w:rPr>
    </w:lvl>
    <w:lvl w:ilvl="6" w:tplc="AD4E0ECE">
      <w:numFmt w:val="bullet"/>
      <w:lvlText w:val="•"/>
      <w:lvlJc w:val="left"/>
      <w:pPr>
        <w:ind w:left="2050" w:hanging="172"/>
      </w:pPr>
      <w:rPr>
        <w:rFonts w:hint="default"/>
      </w:rPr>
    </w:lvl>
    <w:lvl w:ilvl="7" w:tplc="30463EDE">
      <w:numFmt w:val="bullet"/>
      <w:lvlText w:val="•"/>
      <w:lvlJc w:val="left"/>
      <w:pPr>
        <w:ind w:left="2345" w:hanging="172"/>
      </w:pPr>
      <w:rPr>
        <w:rFonts w:hint="default"/>
      </w:rPr>
    </w:lvl>
    <w:lvl w:ilvl="8" w:tplc="4EDA6532">
      <w:numFmt w:val="bullet"/>
      <w:lvlText w:val="•"/>
      <w:lvlJc w:val="left"/>
      <w:pPr>
        <w:ind w:left="2640" w:hanging="172"/>
      </w:pPr>
      <w:rPr>
        <w:rFonts w:hint="default"/>
      </w:rPr>
    </w:lvl>
  </w:abstractNum>
  <w:abstractNum w:abstractNumId="67" w15:restartNumberingAfterBreak="0">
    <w:nsid w:val="726423F3"/>
    <w:multiLevelType w:val="hybridMultilevel"/>
    <w:tmpl w:val="366C2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6A97065"/>
    <w:multiLevelType w:val="hybridMultilevel"/>
    <w:tmpl w:val="3746F86E"/>
    <w:lvl w:ilvl="0" w:tplc="3BBC00A8">
      <w:numFmt w:val="bullet"/>
      <w:lvlText w:val="•"/>
      <w:lvlJc w:val="left"/>
      <w:pPr>
        <w:ind w:left="274" w:hanging="172"/>
      </w:pPr>
      <w:rPr>
        <w:rFonts w:ascii="Calibri" w:eastAsia="Calibri" w:hAnsi="Calibri" w:cs="Calibri" w:hint="default"/>
        <w:color w:val="00A94F"/>
        <w:w w:val="90"/>
        <w:sz w:val="18"/>
        <w:szCs w:val="18"/>
      </w:rPr>
    </w:lvl>
    <w:lvl w:ilvl="1" w:tplc="9848A178">
      <w:numFmt w:val="bullet"/>
      <w:lvlText w:val="•"/>
      <w:lvlJc w:val="left"/>
      <w:pPr>
        <w:ind w:left="602" w:hanging="172"/>
      </w:pPr>
      <w:rPr>
        <w:rFonts w:hint="default"/>
      </w:rPr>
    </w:lvl>
    <w:lvl w:ilvl="2" w:tplc="1C02D3BA">
      <w:numFmt w:val="bullet"/>
      <w:lvlText w:val="•"/>
      <w:lvlJc w:val="left"/>
      <w:pPr>
        <w:ind w:left="924" w:hanging="172"/>
      </w:pPr>
      <w:rPr>
        <w:rFonts w:hint="default"/>
      </w:rPr>
    </w:lvl>
    <w:lvl w:ilvl="3" w:tplc="32241924">
      <w:numFmt w:val="bullet"/>
      <w:lvlText w:val="•"/>
      <w:lvlJc w:val="left"/>
      <w:pPr>
        <w:ind w:left="1246" w:hanging="172"/>
      </w:pPr>
      <w:rPr>
        <w:rFonts w:hint="default"/>
      </w:rPr>
    </w:lvl>
    <w:lvl w:ilvl="4" w:tplc="C5EC9FBC">
      <w:numFmt w:val="bullet"/>
      <w:lvlText w:val="•"/>
      <w:lvlJc w:val="left"/>
      <w:pPr>
        <w:ind w:left="1568" w:hanging="172"/>
      </w:pPr>
      <w:rPr>
        <w:rFonts w:hint="default"/>
      </w:rPr>
    </w:lvl>
    <w:lvl w:ilvl="5" w:tplc="61186318">
      <w:numFmt w:val="bullet"/>
      <w:lvlText w:val="•"/>
      <w:lvlJc w:val="left"/>
      <w:pPr>
        <w:ind w:left="1890" w:hanging="172"/>
      </w:pPr>
      <w:rPr>
        <w:rFonts w:hint="default"/>
      </w:rPr>
    </w:lvl>
    <w:lvl w:ilvl="6" w:tplc="E7E83248">
      <w:numFmt w:val="bullet"/>
      <w:lvlText w:val="•"/>
      <w:lvlJc w:val="left"/>
      <w:pPr>
        <w:ind w:left="2212" w:hanging="172"/>
      </w:pPr>
      <w:rPr>
        <w:rFonts w:hint="default"/>
      </w:rPr>
    </w:lvl>
    <w:lvl w:ilvl="7" w:tplc="3CB20CDA">
      <w:numFmt w:val="bullet"/>
      <w:lvlText w:val="•"/>
      <w:lvlJc w:val="left"/>
      <w:pPr>
        <w:ind w:left="2534" w:hanging="172"/>
      </w:pPr>
      <w:rPr>
        <w:rFonts w:hint="default"/>
      </w:rPr>
    </w:lvl>
    <w:lvl w:ilvl="8" w:tplc="6EF62CAE">
      <w:numFmt w:val="bullet"/>
      <w:lvlText w:val="•"/>
      <w:lvlJc w:val="left"/>
      <w:pPr>
        <w:ind w:left="2856" w:hanging="172"/>
      </w:pPr>
      <w:rPr>
        <w:rFonts w:hint="default"/>
      </w:rPr>
    </w:lvl>
  </w:abstractNum>
  <w:abstractNum w:abstractNumId="69" w15:restartNumberingAfterBreak="0">
    <w:nsid w:val="781100A9"/>
    <w:multiLevelType w:val="hybridMultilevel"/>
    <w:tmpl w:val="EFF4F2E2"/>
    <w:lvl w:ilvl="0" w:tplc="58A63FA2">
      <w:numFmt w:val="bullet"/>
      <w:lvlText w:val="•"/>
      <w:lvlJc w:val="left"/>
      <w:pPr>
        <w:ind w:left="274" w:hanging="172"/>
      </w:pPr>
      <w:rPr>
        <w:rFonts w:ascii="Calibri" w:eastAsia="Calibri" w:hAnsi="Calibri" w:cs="Calibri" w:hint="default"/>
        <w:color w:val="00A94F"/>
        <w:w w:val="90"/>
        <w:sz w:val="18"/>
        <w:szCs w:val="18"/>
      </w:rPr>
    </w:lvl>
    <w:lvl w:ilvl="1" w:tplc="B8C85C88">
      <w:numFmt w:val="bullet"/>
      <w:lvlText w:val="•"/>
      <w:lvlJc w:val="left"/>
      <w:pPr>
        <w:ind w:left="494" w:hanging="172"/>
      </w:pPr>
      <w:rPr>
        <w:rFonts w:hint="default"/>
      </w:rPr>
    </w:lvl>
    <w:lvl w:ilvl="2" w:tplc="3C666858">
      <w:numFmt w:val="bullet"/>
      <w:lvlText w:val="•"/>
      <w:lvlJc w:val="left"/>
      <w:pPr>
        <w:ind w:left="708" w:hanging="172"/>
      </w:pPr>
      <w:rPr>
        <w:rFonts w:hint="default"/>
      </w:rPr>
    </w:lvl>
    <w:lvl w:ilvl="3" w:tplc="5EA8BEEE">
      <w:numFmt w:val="bullet"/>
      <w:lvlText w:val="•"/>
      <w:lvlJc w:val="left"/>
      <w:pPr>
        <w:ind w:left="922" w:hanging="172"/>
      </w:pPr>
      <w:rPr>
        <w:rFonts w:hint="default"/>
      </w:rPr>
    </w:lvl>
    <w:lvl w:ilvl="4" w:tplc="5E72BB54">
      <w:numFmt w:val="bullet"/>
      <w:lvlText w:val="•"/>
      <w:lvlJc w:val="left"/>
      <w:pPr>
        <w:ind w:left="1136" w:hanging="172"/>
      </w:pPr>
      <w:rPr>
        <w:rFonts w:hint="default"/>
      </w:rPr>
    </w:lvl>
    <w:lvl w:ilvl="5" w:tplc="29424764">
      <w:numFmt w:val="bullet"/>
      <w:lvlText w:val="•"/>
      <w:lvlJc w:val="left"/>
      <w:pPr>
        <w:ind w:left="1350" w:hanging="172"/>
      </w:pPr>
      <w:rPr>
        <w:rFonts w:hint="default"/>
      </w:rPr>
    </w:lvl>
    <w:lvl w:ilvl="6" w:tplc="4998C284">
      <w:numFmt w:val="bullet"/>
      <w:lvlText w:val="•"/>
      <w:lvlJc w:val="left"/>
      <w:pPr>
        <w:ind w:left="1564" w:hanging="172"/>
      </w:pPr>
      <w:rPr>
        <w:rFonts w:hint="default"/>
      </w:rPr>
    </w:lvl>
    <w:lvl w:ilvl="7" w:tplc="B69AC446">
      <w:numFmt w:val="bullet"/>
      <w:lvlText w:val="•"/>
      <w:lvlJc w:val="left"/>
      <w:pPr>
        <w:ind w:left="1778" w:hanging="172"/>
      </w:pPr>
      <w:rPr>
        <w:rFonts w:hint="default"/>
      </w:rPr>
    </w:lvl>
    <w:lvl w:ilvl="8" w:tplc="4EAEF8E4">
      <w:numFmt w:val="bullet"/>
      <w:lvlText w:val="•"/>
      <w:lvlJc w:val="left"/>
      <w:pPr>
        <w:ind w:left="1992" w:hanging="172"/>
      </w:pPr>
      <w:rPr>
        <w:rFonts w:hint="default"/>
      </w:rPr>
    </w:lvl>
  </w:abstractNum>
  <w:abstractNum w:abstractNumId="70" w15:restartNumberingAfterBreak="0">
    <w:nsid w:val="795A3733"/>
    <w:multiLevelType w:val="hybridMultilevel"/>
    <w:tmpl w:val="9880D2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172828"/>
    <w:multiLevelType w:val="hybridMultilevel"/>
    <w:tmpl w:val="20C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5A6877"/>
    <w:multiLevelType w:val="hybridMultilevel"/>
    <w:tmpl w:val="EE8036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D201650"/>
    <w:multiLevelType w:val="hybridMultilevel"/>
    <w:tmpl w:val="62944810"/>
    <w:lvl w:ilvl="0" w:tplc="E6000C7C">
      <w:numFmt w:val="bullet"/>
      <w:lvlText w:val="•"/>
      <w:lvlJc w:val="left"/>
      <w:pPr>
        <w:ind w:left="274" w:hanging="172"/>
      </w:pPr>
      <w:rPr>
        <w:rFonts w:ascii="Calibri" w:eastAsia="Calibri" w:hAnsi="Calibri" w:cs="Calibri" w:hint="default"/>
        <w:color w:val="00A94F"/>
        <w:w w:val="90"/>
        <w:sz w:val="18"/>
        <w:szCs w:val="18"/>
      </w:rPr>
    </w:lvl>
    <w:lvl w:ilvl="1" w:tplc="4AF89580">
      <w:numFmt w:val="bullet"/>
      <w:lvlText w:val="•"/>
      <w:lvlJc w:val="left"/>
      <w:pPr>
        <w:ind w:left="602" w:hanging="172"/>
      </w:pPr>
      <w:rPr>
        <w:rFonts w:hint="default"/>
      </w:rPr>
    </w:lvl>
    <w:lvl w:ilvl="2" w:tplc="FC865EEA">
      <w:numFmt w:val="bullet"/>
      <w:lvlText w:val="•"/>
      <w:lvlJc w:val="left"/>
      <w:pPr>
        <w:ind w:left="924" w:hanging="172"/>
      </w:pPr>
      <w:rPr>
        <w:rFonts w:hint="default"/>
      </w:rPr>
    </w:lvl>
    <w:lvl w:ilvl="3" w:tplc="A2CA93C4">
      <w:numFmt w:val="bullet"/>
      <w:lvlText w:val="•"/>
      <w:lvlJc w:val="left"/>
      <w:pPr>
        <w:ind w:left="1246" w:hanging="172"/>
      </w:pPr>
      <w:rPr>
        <w:rFonts w:hint="default"/>
      </w:rPr>
    </w:lvl>
    <w:lvl w:ilvl="4" w:tplc="4130555E">
      <w:numFmt w:val="bullet"/>
      <w:lvlText w:val="•"/>
      <w:lvlJc w:val="left"/>
      <w:pPr>
        <w:ind w:left="1568" w:hanging="172"/>
      </w:pPr>
      <w:rPr>
        <w:rFonts w:hint="default"/>
      </w:rPr>
    </w:lvl>
    <w:lvl w:ilvl="5" w:tplc="4F4C9F20">
      <w:numFmt w:val="bullet"/>
      <w:lvlText w:val="•"/>
      <w:lvlJc w:val="left"/>
      <w:pPr>
        <w:ind w:left="1890" w:hanging="172"/>
      </w:pPr>
      <w:rPr>
        <w:rFonts w:hint="default"/>
      </w:rPr>
    </w:lvl>
    <w:lvl w:ilvl="6" w:tplc="2DEC2DCC">
      <w:numFmt w:val="bullet"/>
      <w:lvlText w:val="•"/>
      <w:lvlJc w:val="left"/>
      <w:pPr>
        <w:ind w:left="2212" w:hanging="172"/>
      </w:pPr>
      <w:rPr>
        <w:rFonts w:hint="default"/>
      </w:rPr>
    </w:lvl>
    <w:lvl w:ilvl="7" w:tplc="644C538E">
      <w:numFmt w:val="bullet"/>
      <w:lvlText w:val="•"/>
      <w:lvlJc w:val="left"/>
      <w:pPr>
        <w:ind w:left="2534" w:hanging="172"/>
      </w:pPr>
      <w:rPr>
        <w:rFonts w:hint="default"/>
      </w:rPr>
    </w:lvl>
    <w:lvl w:ilvl="8" w:tplc="00C002E8">
      <w:numFmt w:val="bullet"/>
      <w:lvlText w:val="•"/>
      <w:lvlJc w:val="left"/>
      <w:pPr>
        <w:ind w:left="2856" w:hanging="172"/>
      </w:pPr>
      <w:rPr>
        <w:rFonts w:hint="default"/>
      </w:rPr>
    </w:lvl>
  </w:abstractNum>
  <w:num w:numId="1">
    <w:abstractNumId w:val="34"/>
  </w:num>
  <w:num w:numId="2">
    <w:abstractNumId w:val="42"/>
  </w:num>
  <w:num w:numId="3">
    <w:abstractNumId w:val="1"/>
  </w:num>
  <w:num w:numId="4">
    <w:abstractNumId w:val="39"/>
  </w:num>
  <w:num w:numId="5">
    <w:abstractNumId w:val="52"/>
  </w:num>
  <w:num w:numId="6">
    <w:abstractNumId w:val="24"/>
  </w:num>
  <w:num w:numId="7">
    <w:abstractNumId w:val="72"/>
  </w:num>
  <w:num w:numId="8">
    <w:abstractNumId w:val="16"/>
  </w:num>
  <w:num w:numId="9">
    <w:abstractNumId w:val="7"/>
  </w:num>
  <w:num w:numId="10">
    <w:abstractNumId w:val="5"/>
  </w:num>
  <w:num w:numId="11">
    <w:abstractNumId w:val="11"/>
  </w:num>
  <w:num w:numId="12">
    <w:abstractNumId w:val="60"/>
  </w:num>
  <w:num w:numId="13">
    <w:abstractNumId w:val="20"/>
  </w:num>
  <w:num w:numId="14">
    <w:abstractNumId w:val="23"/>
  </w:num>
  <w:num w:numId="15">
    <w:abstractNumId w:val="27"/>
  </w:num>
  <w:num w:numId="16">
    <w:abstractNumId w:val="46"/>
  </w:num>
  <w:num w:numId="17">
    <w:abstractNumId w:val="49"/>
  </w:num>
  <w:num w:numId="18">
    <w:abstractNumId w:val="13"/>
  </w:num>
  <w:num w:numId="19">
    <w:abstractNumId w:val="19"/>
  </w:num>
  <w:num w:numId="20">
    <w:abstractNumId w:val="70"/>
  </w:num>
  <w:num w:numId="21">
    <w:abstractNumId w:val="51"/>
  </w:num>
  <w:num w:numId="22">
    <w:abstractNumId w:val="59"/>
  </w:num>
  <w:num w:numId="23">
    <w:abstractNumId w:val="67"/>
  </w:num>
  <w:num w:numId="24">
    <w:abstractNumId w:val="18"/>
  </w:num>
  <w:num w:numId="25">
    <w:abstractNumId w:val="50"/>
  </w:num>
  <w:num w:numId="26">
    <w:abstractNumId w:val="53"/>
  </w:num>
  <w:num w:numId="27">
    <w:abstractNumId w:val="4"/>
  </w:num>
  <w:num w:numId="28">
    <w:abstractNumId w:val="38"/>
  </w:num>
  <w:num w:numId="29">
    <w:abstractNumId w:val="33"/>
  </w:num>
  <w:num w:numId="30">
    <w:abstractNumId w:val="14"/>
  </w:num>
  <w:num w:numId="31">
    <w:abstractNumId w:val="26"/>
  </w:num>
  <w:num w:numId="32">
    <w:abstractNumId w:val="35"/>
  </w:num>
  <w:num w:numId="33">
    <w:abstractNumId w:val="69"/>
  </w:num>
  <w:num w:numId="34">
    <w:abstractNumId w:val="62"/>
  </w:num>
  <w:num w:numId="35">
    <w:abstractNumId w:val="58"/>
  </w:num>
  <w:num w:numId="36">
    <w:abstractNumId w:val="22"/>
  </w:num>
  <w:num w:numId="37">
    <w:abstractNumId w:val="65"/>
  </w:num>
  <w:num w:numId="38">
    <w:abstractNumId w:val="68"/>
  </w:num>
  <w:num w:numId="39">
    <w:abstractNumId w:val="40"/>
  </w:num>
  <w:num w:numId="40">
    <w:abstractNumId w:val="30"/>
  </w:num>
  <w:num w:numId="41">
    <w:abstractNumId w:val="32"/>
  </w:num>
  <w:num w:numId="42">
    <w:abstractNumId w:val="45"/>
  </w:num>
  <w:num w:numId="43">
    <w:abstractNumId w:val="2"/>
  </w:num>
  <w:num w:numId="44">
    <w:abstractNumId w:val="10"/>
  </w:num>
  <w:num w:numId="45">
    <w:abstractNumId w:val="63"/>
  </w:num>
  <w:num w:numId="46">
    <w:abstractNumId w:val="8"/>
  </w:num>
  <w:num w:numId="47">
    <w:abstractNumId w:val="0"/>
  </w:num>
  <w:num w:numId="48">
    <w:abstractNumId w:val="64"/>
  </w:num>
  <w:num w:numId="49">
    <w:abstractNumId w:val="29"/>
  </w:num>
  <w:num w:numId="50">
    <w:abstractNumId w:val="73"/>
  </w:num>
  <w:num w:numId="51">
    <w:abstractNumId w:val="47"/>
  </w:num>
  <w:num w:numId="52">
    <w:abstractNumId w:val="25"/>
  </w:num>
  <w:num w:numId="53">
    <w:abstractNumId w:val="36"/>
  </w:num>
  <w:num w:numId="54">
    <w:abstractNumId w:val="43"/>
  </w:num>
  <w:num w:numId="55">
    <w:abstractNumId w:val="41"/>
  </w:num>
  <w:num w:numId="56">
    <w:abstractNumId w:val="28"/>
  </w:num>
  <w:num w:numId="57">
    <w:abstractNumId w:val="31"/>
  </w:num>
  <w:num w:numId="58">
    <w:abstractNumId w:val="21"/>
  </w:num>
  <w:num w:numId="59">
    <w:abstractNumId w:val="55"/>
  </w:num>
  <w:num w:numId="60">
    <w:abstractNumId w:val="6"/>
  </w:num>
  <w:num w:numId="61">
    <w:abstractNumId w:val="44"/>
  </w:num>
  <w:num w:numId="62">
    <w:abstractNumId w:val="3"/>
  </w:num>
  <w:num w:numId="63">
    <w:abstractNumId w:val="12"/>
  </w:num>
  <w:num w:numId="64">
    <w:abstractNumId w:val="66"/>
  </w:num>
  <w:num w:numId="65">
    <w:abstractNumId w:val="37"/>
  </w:num>
  <w:num w:numId="66">
    <w:abstractNumId w:val="56"/>
  </w:num>
  <w:num w:numId="67">
    <w:abstractNumId w:val="71"/>
  </w:num>
  <w:num w:numId="68">
    <w:abstractNumId w:val="9"/>
  </w:num>
  <w:num w:numId="69">
    <w:abstractNumId w:val="57"/>
  </w:num>
  <w:num w:numId="70">
    <w:abstractNumId w:val="54"/>
  </w:num>
  <w:num w:numId="71">
    <w:abstractNumId w:val="48"/>
  </w:num>
  <w:num w:numId="72">
    <w:abstractNumId w:val="61"/>
  </w:num>
  <w:num w:numId="73">
    <w:abstractNumId w:val="17"/>
  </w:num>
  <w:num w:numId="74">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202"/>
    <w:rsid w:val="00001060"/>
    <w:rsid w:val="00003523"/>
    <w:rsid w:val="00004D3B"/>
    <w:rsid w:val="00013B54"/>
    <w:rsid w:val="00032167"/>
    <w:rsid w:val="00042B6F"/>
    <w:rsid w:val="00047CB8"/>
    <w:rsid w:val="00054610"/>
    <w:rsid w:val="000626B5"/>
    <w:rsid w:val="00063BE9"/>
    <w:rsid w:val="000665B8"/>
    <w:rsid w:val="00070530"/>
    <w:rsid w:val="0007163E"/>
    <w:rsid w:val="0008215E"/>
    <w:rsid w:val="000903FB"/>
    <w:rsid w:val="00093154"/>
    <w:rsid w:val="000943E0"/>
    <w:rsid w:val="000B433B"/>
    <w:rsid w:val="000B7DBD"/>
    <w:rsid w:val="000C4BB7"/>
    <w:rsid w:val="000D151F"/>
    <w:rsid w:val="000E120E"/>
    <w:rsid w:val="000F2283"/>
    <w:rsid w:val="0012156A"/>
    <w:rsid w:val="001216CC"/>
    <w:rsid w:val="00121F57"/>
    <w:rsid w:val="00125967"/>
    <w:rsid w:val="00130352"/>
    <w:rsid w:val="00132DD5"/>
    <w:rsid w:val="00153E72"/>
    <w:rsid w:val="00162386"/>
    <w:rsid w:val="00167A67"/>
    <w:rsid w:val="00185698"/>
    <w:rsid w:val="00187E8E"/>
    <w:rsid w:val="00191440"/>
    <w:rsid w:val="001A0F12"/>
    <w:rsid w:val="001B2C75"/>
    <w:rsid w:val="001B5C0D"/>
    <w:rsid w:val="001B79ED"/>
    <w:rsid w:val="001D4F02"/>
    <w:rsid w:val="001E3895"/>
    <w:rsid w:val="001E5CCD"/>
    <w:rsid w:val="001F04C4"/>
    <w:rsid w:val="001F0FDC"/>
    <w:rsid w:val="002041B6"/>
    <w:rsid w:val="002058C7"/>
    <w:rsid w:val="00206DF2"/>
    <w:rsid w:val="002078D9"/>
    <w:rsid w:val="00215AF2"/>
    <w:rsid w:val="00221F68"/>
    <w:rsid w:val="00246CDA"/>
    <w:rsid w:val="0025234F"/>
    <w:rsid w:val="002719CA"/>
    <w:rsid w:val="002778F4"/>
    <w:rsid w:val="002841B4"/>
    <w:rsid w:val="00285D19"/>
    <w:rsid w:val="002A0911"/>
    <w:rsid w:val="002C1CDD"/>
    <w:rsid w:val="002D6523"/>
    <w:rsid w:val="002D7202"/>
    <w:rsid w:val="002E01D0"/>
    <w:rsid w:val="002E457C"/>
    <w:rsid w:val="002E6EA2"/>
    <w:rsid w:val="002E7AA1"/>
    <w:rsid w:val="002F193D"/>
    <w:rsid w:val="002F67CA"/>
    <w:rsid w:val="0030779F"/>
    <w:rsid w:val="00314A4F"/>
    <w:rsid w:val="00317DDE"/>
    <w:rsid w:val="003211D8"/>
    <w:rsid w:val="003233C5"/>
    <w:rsid w:val="00323B4D"/>
    <w:rsid w:val="00332478"/>
    <w:rsid w:val="0033316E"/>
    <w:rsid w:val="00337DBC"/>
    <w:rsid w:val="00346924"/>
    <w:rsid w:val="00347143"/>
    <w:rsid w:val="003474E9"/>
    <w:rsid w:val="003551B8"/>
    <w:rsid w:val="003629CA"/>
    <w:rsid w:val="00373C93"/>
    <w:rsid w:val="00374042"/>
    <w:rsid w:val="00376FB5"/>
    <w:rsid w:val="003827BE"/>
    <w:rsid w:val="003834AF"/>
    <w:rsid w:val="0038619F"/>
    <w:rsid w:val="00390320"/>
    <w:rsid w:val="00391340"/>
    <w:rsid w:val="003973D8"/>
    <w:rsid w:val="003A3EA8"/>
    <w:rsid w:val="003B0E82"/>
    <w:rsid w:val="003B3379"/>
    <w:rsid w:val="003B36B7"/>
    <w:rsid w:val="003B746E"/>
    <w:rsid w:val="003C1223"/>
    <w:rsid w:val="003C2C50"/>
    <w:rsid w:val="003C768E"/>
    <w:rsid w:val="003D6D90"/>
    <w:rsid w:val="003E0C37"/>
    <w:rsid w:val="003E449B"/>
    <w:rsid w:val="00406E25"/>
    <w:rsid w:val="00411CA4"/>
    <w:rsid w:val="004303C8"/>
    <w:rsid w:val="00435168"/>
    <w:rsid w:val="00444E7E"/>
    <w:rsid w:val="00451C3C"/>
    <w:rsid w:val="004521CE"/>
    <w:rsid w:val="00455CC6"/>
    <w:rsid w:val="004616CB"/>
    <w:rsid w:val="00463A71"/>
    <w:rsid w:val="00464389"/>
    <w:rsid w:val="00466C3C"/>
    <w:rsid w:val="00472D46"/>
    <w:rsid w:val="00486EA5"/>
    <w:rsid w:val="00490D3C"/>
    <w:rsid w:val="004935FD"/>
    <w:rsid w:val="004A03E1"/>
    <w:rsid w:val="004A0C35"/>
    <w:rsid w:val="004B24EB"/>
    <w:rsid w:val="004B44D8"/>
    <w:rsid w:val="004B5E77"/>
    <w:rsid w:val="004B6EBD"/>
    <w:rsid w:val="004B7AD7"/>
    <w:rsid w:val="004C0CBC"/>
    <w:rsid w:val="004D4C5D"/>
    <w:rsid w:val="004F11C6"/>
    <w:rsid w:val="004F7DBF"/>
    <w:rsid w:val="00503A06"/>
    <w:rsid w:val="005131D2"/>
    <w:rsid w:val="0052052C"/>
    <w:rsid w:val="00543FD6"/>
    <w:rsid w:val="00552A8B"/>
    <w:rsid w:val="00556A79"/>
    <w:rsid w:val="0057148B"/>
    <w:rsid w:val="00572FFF"/>
    <w:rsid w:val="005744E8"/>
    <w:rsid w:val="00576026"/>
    <w:rsid w:val="00577287"/>
    <w:rsid w:val="00582D23"/>
    <w:rsid w:val="00592DA5"/>
    <w:rsid w:val="00593B54"/>
    <w:rsid w:val="005946B4"/>
    <w:rsid w:val="00595DCC"/>
    <w:rsid w:val="005A1A56"/>
    <w:rsid w:val="005A4166"/>
    <w:rsid w:val="005A45AA"/>
    <w:rsid w:val="005A4C92"/>
    <w:rsid w:val="005B0CA9"/>
    <w:rsid w:val="005D53E3"/>
    <w:rsid w:val="005D57BF"/>
    <w:rsid w:val="005D6660"/>
    <w:rsid w:val="005E4826"/>
    <w:rsid w:val="005E5EA9"/>
    <w:rsid w:val="005F4250"/>
    <w:rsid w:val="005F6197"/>
    <w:rsid w:val="00610E5B"/>
    <w:rsid w:val="0061177B"/>
    <w:rsid w:val="0061320A"/>
    <w:rsid w:val="00617878"/>
    <w:rsid w:val="00620625"/>
    <w:rsid w:val="0062379C"/>
    <w:rsid w:val="00626B9E"/>
    <w:rsid w:val="00632DB8"/>
    <w:rsid w:val="00636660"/>
    <w:rsid w:val="0064702D"/>
    <w:rsid w:val="006470A6"/>
    <w:rsid w:val="00650F09"/>
    <w:rsid w:val="006524A5"/>
    <w:rsid w:val="00654D65"/>
    <w:rsid w:val="006717BA"/>
    <w:rsid w:val="00671DF5"/>
    <w:rsid w:val="0067309A"/>
    <w:rsid w:val="006757C4"/>
    <w:rsid w:val="00695A30"/>
    <w:rsid w:val="00696BDE"/>
    <w:rsid w:val="006A28C5"/>
    <w:rsid w:val="006A788C"/>
    <w:rsid w:val="006C6518"/>
    <w:rsid w:val="006D7FBB"/>
    <w:rsid w:val="006E588D"/>
    <w:rsid w:val="006F646B"/>
    <w:rsid w:val="0072325A"/>
    <w:rsid w:val="00742119"/>
    <w:rsid w:val="00753B99"/>
    <w:rsid w:val="00764FEC"/>
    <w:rsid w:val="0078074B"/>
    <w:rsid w:val="00792B1D"/>
    <w:rsid w:val="00794BF1"/>
    <w:rsid w:val="0079524C"/>
    <w:rsid w:val="0079593B"/>
    <w:rsid w:val="007A2A53"/>
    <w:rsid w:val="007A7296"/>
    <w:rsid w:val="007B7F4E"/>
    <w:rsid w:val="007C47D0"/>
    <w:rsid w:val="007C65CE"/>
    <w:rsid w:val="007D60E9"/>
    <w:rsid w:val="007D7339"/>
    <w:rsid w:val="007E06E2"/>
    <w:rsid w:val="007E5706"/>
    <w:rsid w:val="007F1061"/>
    <w:rsid w:val="00802A40"/>
    <w:rsid w:val="0080760D"/>
    <w:rsid w:val="00811B62"/>
    <w:rsid w:val="00811FC8"/>
    <w:rsid w:val="0081405F"/>
    <w:rsid w:val="0083532D"/>
    <w:rsid w:val="00846D13"/>
    <w:rsid w:val="00853A42"/>
    <w:rsid w:val="0086757D"/>
    <w:rsid w:val="00873AE2"/>
    <w:rsid w:val="008854F7"/>
    <w:rsid w:val="008B36C5"/>
    <w:rsid w:val="008C09F2"/>
    <w:rsid w:val="008C13D5"/>
    <w:rsid w:val="008F24C2"/>
    <w:rsid w:val="008F2B19"/>
    <w:rsid w:val="008F4AC9"/>
    <w:rsid w:val="008F5F4B"/>
    <w:rsid w:val="00901869"/>
    <w:rsid w:val="00901F9A"/>
    <w:rsid w:val="00931332"/>
    <w:rsid w:val="009523F1"/>
    <w:rsid w:val="00983F01"/>
    <w:rsid w:val="00996550"/>
    <w:rsid w:val="009A2178"/>
    <w:rsid w:val="009B4C88"/>
    <w:rsid w:val="009B6B4C"/>
    <w:rsid w:val="009C3698"/>
    <w:rsid w:val="009C7569"/>
    <w:rsid w:val="009C7837"/>
    <w:rsid w:val="009D6CA1"/>
    <w:rsid w:val="00A10FD7"/>
    <w:rsid w:val="00A20BC9"/>
    <w:rsid w:val="00A226A1"/>
    <w:rsid w:val="00A37457"/>
    <w:rsid w:val="00A5078A"/>
    <w:rsid w:val="00A720C1"/>
    <w:rsid w:val="00A80963"/>
    <w:rsid w:val="00A81E32"/>
    <w:rsid w:val="00A87F63"/>
    <w:rsid w:val="00AB753E"/>
    <w:rsid w:val="00AC0D26"/>
    <w:rsid w:val="00AC5BAA"/>
    <w:rsid w:val="00AE179C"/>
    <w:rsid w:val="00AE1C3D"/>
    <w:rsid w:val="00AE5094"/>
    <w:rsid w:val="00B03D06"/>
    <w:rsid w:val="00B11ECE"/>
    <w:rsid w:val="00B14402"/>
    <w:rsid w:val="00B26708"/>
    <w:rsid w:val="00B35F0A"/>
    <w:rsid w:val="00B40B82"/>
    <w:rsid w:val="00B60DD9"/>
    <w:rsid w:val="00B62610"/>
    <w:rsid w:val="00B62F71"/>
    <w:rsid w:val="00B77345"/>
    <w:rsid w:val="00B86F20"/>
    <w:rsid w:val="00B953EF"/>
    <w:rsid w:val="00BA0492"/>
    <w:rsid w:val="00BB6967"/>
    <w:rsid w:val="00BD4C73"/>
    <w:rsid w:val="00BD4F46"/>
    <w:rsid w:val="00BE2E13"/>
    <w:rsid w:val="00BE378D"/>
    <w:rsid w:val="00BE5528"/>
    <w:rsid w:val="00BE7EEF"/>
    <w:rsid w:val="00BF3377"/>
    <w:rsid w:val="00BF697D"/>
    <w:rsid w:val="00C02E17"/>
    <w:rsid w:val="00C02F7E"/>
    <w:rsid w:val="00C12F74"/>
    <w:rsid w:val="00C16F42"/>
    <w:rsid w:val="00C306BE"/>
    <w:rsid w:val="00C412FE"/>
    <w:rsid w:val="00C4252E"/>
    <w:rsid w:val="00C45FC2"/>
    <w:rsid w:val="00C47236"/>
    <w:rsid w:val="00C52E97"/>
    <w:rsid w:val="00C56EED"/>
    <w:rsid w:val="00C618DA"/>
    <w:rsid w:val="00C656FE"/>
    <w:rsid w:val="00C65BE1"/>
    <w:rsid w:val="00C743A6"/>
    <w:rsid w:val="00C76510"/>
    <w:rsid w:val="00C809B2"/>
    <w:rsid w:val="00C80EC1"/>
    <w:rsid w:val="00C8181A"/>
    <w:rsid w:val="00C92FD0"/>
    <w:rsid w:val="00C9434E"/>
    <w:rsid w:val="00C97888"/>
    <w:rsid w:val="00CA282C"/>
    <w:rsid w:val="00CA6CDC"/>
    <w:rsid w:val="00CC3AEA"/>
    <w:rsid w:val="00CD2AA9"/>
    <w:rsid w:val="00CE00DD"/>
    <w:rsid w:val="00CE6F50"/>
    <w:rsid w:val="00D05B8B"/>
    <w:rsid w:val="00D11428"/>
    <w:rsid w:val="00D258AC"/>
    <w:rsid w:val="00D30388"/>
    <w:rsid w:val="00D33D1F"/>
    <w:rsid w:val="00D64EB1"/>
    <w:rsid w:val="00D70670"/>
    <w:rsid w:val="00D754B3"/>
    <w:rsid w:val="00D7571B"/>
    <w:rsid w:val="00D81C92"/>
    <w:rsid w:val="00D82778"/>
    <w:rsid w:val="00DA6E29"/>
    <w:rsid w:val="00DB4B36"/>
    <w:rsid w:val="00DC531D"/>
    <w:rsid w:val="00DC6782"/>
    <w:rsid w:val="00DD2692"/>
    <w:rsid w:val="00DD3405"/>
    <w:rsid w:val="00DD43C2"/>
    <w:rsid w:val="00DD7F22"/>
    <w:rsid w:val="00DE0BF9"/>
    <w:rsid w:val="00DE16B6"/>
    <w:rsid w:val="00DE1EDA"/>
    <w:rsid w:val="00DE2626"/>
    <w:rsid w:val="00DE54F0"/>
    <w:rsid w:val="00DE6027"/>
    <w:rsid w:val="00DF2AC8"/>
    <w:rsid w:val="00DF677C"/>
    <w:rsid w:val="00DF6F96"/>
    <w:rsid w:val="00E00440"/>
    <w:rsid w:val="00E07D6A"/>
    <w:rsid w:val="00E126CD"/>
    <w:rsid w:val="00E14BEF"/>
    <w:rsid w:val="00E2028B"/>
    <w:rsid w:val="00E214FE"/>
    <w:rsid w:val="00E25430"/>
    <w:rsid w:val="00E42046"/>
    <w:rsid w:val="00E73CEB"/>
    <w:rsid w:val="00E82450"/>
    <w:rsid w:val="00E94A0C"/>
    <w:rsid w:val="00E959D8"/>
    <w:rsid w:val="00EA581C"/>
    <w:rsid w:val="00EB40F6"/>
    <w:rsid w:val="00EC44EE"/>
    <w:rsid w:val="00EC4B81"/>
    <w:rsid w:val="00EF0357"/>
    <w:rsid w:val="00EF53E7"/>
    <w:rsid w:val="00F05D8F"/>
    <w:rsid w:val="00F066B7"/>
    <w:rsid w:val="00F106E9"/>
    <w:rsid w:val="00F160CA"/>
    <w:rsid w:val="00F33CAA"/>
    <w:rsid w:val="00F34DFB"/>
    <w:rsid w:val="00F40623"/>
    <w:rsid w:val="00F4524F"/>
    <w:rsid w:val="00F523E9"/>
    <w:rsid w:val="00F55450"/>
    <w:rsid w:val="00F612B8"/>
    <w:rsid w:val="00F77C73"/>
    <w:rsid w:val="00F86139"/>
    <w:rsid w:val="00F90762"/>
    <w:rsid w:val="00F92BBE"/>
    <w:rsid w:val="00F96272"/>
    <w:rsid w:val="00F965EB"/>
    <w:rsid w:val="00FB518E"/>
    <w:rsid w:val="00FC03CB"/>
    <w:rsid w:val="00FC0441"/>
    <w:rsid w:val="00FC695D"/>
    <w:rsid w:val="00FC7FE9"/>
    <w:rsid w:val="00FD2D9A"/>
    <w:rsid w:val="00FF5756"/>
    <w:rsid w:val="00FF6BFF"/>
    <w:rsid w:val="0B93A777"/>
    <w:rsid w:val="0D4F7C78"/>
    <w:rsid w:val="2CE5D46E"/>
    <w:rsid w:val="37FDAE0E"/>
    <w:rsid w:val="4513C104"/>
    <w:rsid w:val="4861EEDA"/>
    <w:rsid w:val="78076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D435D8"/>
  <w15:chartTrackingRefBased/>
  <w15:docId w15:val="{24294005-D5B9-435A-B077-85810EFA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E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3">
    <w:name w:val="A3"/>
    <w:uiPriority w:val="99"/>
    <w:rsid w:val="002D7202"/>
    <w:rPr>
      <w:rFonts w:cs="Avenir 55 Roman"/>
      <w:color w:val="00A94E"/>
      <w:sz w:val="28"/>
      <w:szCs w:val="2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1E38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895"/>
    <w:rPr>
      <w:rFonts w:ascii="Segoe UI" w:hAnsi="Segoe UI" w:cs="Segoe UI"/>
      <w:sz w:val="18"/>
      <w:szCs w:val="18"/>
    </w:rPr>
  </w:style>
  <w:style w:type="character" w:styleId="CommentReference">
    <w:name w:val="annotation reference"/>
    <w:basedOn w:val="DefaultParagraphFont"/>
    <w:uiPriority w:val="99"/>
    <w:semiHidden/>
    <w:unhideWhenUsed/>
    <w:rsid w:val="00C9434E"/>
    <w:rPr>
      <w:sz w:val="16"/>
      <w:szCs w:val="16"/>
    </w:rPr>
  </w:style>
  <w:style w:type="paragraph" w:styleId="CommentText">
    <w:name w:val="annotation text"/>
    <w:basedOn w:val="Normal"/>
    <w:link w:val="CommentTextChar"/>
    <w:uiPriority w:val="99"/>
    <w:semiHidden/>
    <w:unhideWhenUsed/>
    <w:rsid w:val="00C9434E"/>
    <w:pPr>
      <w:spacing w:line="240" w:lineRule="auto"/>
    </w:pPr>
    <w:rPr>
      <w:sz w:val="20"/>
      <w:szCs w:val="20"/>
    </w:rPr>
  </w:style>
  <w:style w:type="character" w:customStyle="1" w:styleId="CommentTextChar">
    <w:name w:val="Comment Text Char"/>
    <w:basedOn w:val="DefaultParagraphFont"/>
    <w:link w:val="CommentText"/>
    <w:uiPriority w:val="99"/>
    <w:semiHidden/>
    <w:rsid w:val="00C9434E"/>
    <w:rPr>
      <w:sz w:val="20"/>
      <w:szCs w:val="20"/>
    </w:rPr>
  </w:style>
  <w:style w:type="paragraph" w:styleId="CommentSubject">
    <w:name w:val="annotation subject"/>
    <w:basedOn w:val="CommentText"/>
    <w:next w:val="CommentText"/>
    <w:link w:val="CommentSubjectChar"/>
    <w:uiPriority w:val="99"/>
    <w:semiHidden/>
    <w:unhideWhenUsed/>
    <w:rsid w:val="00C9434E"/>
    <w:rPr>
      <w:b/>
      <w:bCs/>
    </w:rPr>
  </w:style>
  <w:style w:type="character" w:customStyle="1" w:styleId="CommentSubjectChar">
    <w:name w:val="Comment Subject Char"/>
    <w:basedOn w:val="CommentTextChar"/>
    <w:link w:val="CommentSubject"/>
    <w:uiPriority w:val="99"/>
    <w:semiHidden/>
    <w:rsid w:val="00C9434E"/>
    <w:rPr>
      <w:b/>
      <w:bCs/>
      <w:sz w:val="20"/>
      <w:szCs w:val="20"/>
    </w:rPr>
  </w:style>
  <w:style w:type="paragraph" w:styleId="Revision">
    <w:name w:val="Revision"/>
    <w:hidden/>
    <w:uiPriority w:val="99"/>
    <w:semiHidden/>
    <w:rsid w:val="00314A4F"/>
    <w:pPr>
      <w:spacing w:after="0" w:line="240" w:lineRule="auto"/>
    </w:pPr>
  </w:style>
  <w:style w:type="paragraph" w:styleId="BodyText">
    <w:name w:val="Body Text"/>
    <w:basedOn w:val="Normal"/>
    <w:link w:val="BodyTextChar"/>
    <w:uiPriority w:val="99"/>
    <w:semiHidden/>
    <w:unhideWhenUsed/>
    <w:rsid w:val="00595DCC"/>
    <w:pPr>
      <w:spacing w:after="120"/>
    </w:pPr>
  </w:style>
  <w:style w:type="character" w:customStyle="1" w:styleId="BodyTextChar">
    <w:name w:val="Body Text Char"/>
    <w:basedOn w:val="DefaultParagraphFont"/>
    <w:link w:val="BodyText"/>
    <w:uiPriority w:val="99"/>
    <w:semiHidden/>
    <w:rsid w:val="00595DCC"/>
  </w:style>
  <w:style w:type="numbering" w:customStyle="1" w:styleId="NoList1">
    <w:name w:val="No List1"/>
    <w:next w:val="NoList"/>
    <w:uiPriority w:val="99"/>
    <w:semiHidden/>
    <w:unhideWhenUsed/>
    <w:rsid w:val="004B5E77"/>
  </w:style>
  <w:style w:type="paragraph" w:customStyle="1" w:styleId="NormalWeb1">
    <w:name w:val="Normal (Web)1"/>
    <w:basedOn w:val="Normal"/>
    <w:next w:val="NormalWeb"/>
    <w:uiPriority w:val="99"/>
    <w:semiHidden/>
    <w:unhideWhenUsed/>
    <w:rsid w:val="004B5E77"/>
    <w:rPr>
      <w:rFonts w:ascii="Times New Roman" w:hAnsi="Times New Roman" w:cs="Times New Roman"/>
      <w:sz w:val="24"/>
      <w:szCs w:val="24"/>
    </w:rPr>
  </w:style>
  <w:style w:type="paragraph" w:customStyle="1" w:styleId="TableParagraph">
    <w:name w:val="Table Paragraph"/>
    <w:basedOn w:val="Normal"/>
    <w:uiPriority w:val="1"/>
    <w:qFormat/>
    <w:rsid w:val="004B5E77"/>
    <w:pPr>
      <w:widowControl w:val="0"/>
      <w:autoSpaceDE w:val="0"/>
      <w:autoSpaceDN w:val="0"/>
      <w:spacing w:after="0" w:line="240" w:lineRule="auto"/>
      <w:ind w:left="274" w:hanging="171"/>
    </w:pPr>
    <w:rPr>
      <w:rFonts w:ascii="Arial" w:eastAsia="Arial" w:hAnsi="Arial" w:cs="Arial"/>
    </w:rPr>
  </w:style>
  <w:style w:type="paragraph" w:styleId="NormalWeb">
    <w:name w:val="Normal (Web)"/>
    <w:basedOn w:val="Normal"/>
    <w:uiPriority w:val="99"/>
    <w:semiHidden/>
    <w:unhideWhenUsed/>
    <w:rsid w:val="004B5E77"/>
    <w:rPr>
      <w:rFonts w:ascii="Times New Roman" w:hAnsi="Times New Roman" w:cs="Times New Roman"/>
      <w:sz w:val="24"/>
      <w:szCs w:val="24"/>
    </w:rPr>
  </w:style>
  <w:style w:type="character" w:styleId="Strong">
    <w:name w:val="Strong"/>
    <w:basedOn w:val="DefaultParagraphFont"/>
    <w:uiPriority w:val="22"/>
    <w:qFormat/>
    <w:rsid w:val="00B03D06"/>
    <w:rPr>
      <w:b/>
      <w:bCs/>
    </w:rPr>
  </w:style>
  <w:style w:type="character" w:styleId="FollowedHyperlink">
    <w:name w:val="FollowedHyperlink"/>
    <w:basedOn w:val="DefaultParagraphFont"/>
    <w:uiPriority w:val="99"/>
    <w:semiHidden/>
    <w:unhideWhenUsed/>
    <w:rsid w:val="00EF53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27997">
      <w:bodyDiv w:val="1"/>
      <w:marLeft w:val="0"/>
      <w:marRight w:val="0"/>
      <w:marTop w:val="0"/>
      <w:marBottom w:val="0"/>
      <w:divBdr>
        <w:top w:val="none" w:sz="0" w:space="0" w:color="auto"/>
        <w:left w:val="none" w:sz="0" w:space="0" w:color="auto"/>
        <w:bottom w:val="none" w:sz="0" w:space="0" w:color="auto"/>
        <w:right w:val="none" w:sz="0" w:space="0" w:color="auto"/>
      </w:divBdr>
    </w:div>
    <w:div w:id="197790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fsis.usda.gov/OutbreakProcedur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cifor.us/downloads/clearinghouse/NHGQ_v2_OMB0920_0997.pdf"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fda.gov/ForFederalStateandLocalOfficials/CommunicationbetweenFDAStateLocaland%20Officials/Commissioning/default.htm"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4150</Words>
  <Characters>23657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Brown</dc:creator>
  <cp:keywords/>
  <dc:description/>
  <cp:lastModifiedBy>Craig W Hedberg</cp:lastModifiedBy>
  <cp:revision>2</cp:revision>
  <cp:lastPrinted>2019-01-26T16:29:00Z</cp:lastPrinted>
  <dcterms:created xsi:type="dcterms:W3CDTF">2019-03-19T15:19:00Z</dcterms:created>
  <dcterms:modified xsi:type="dcterms:W3CDTF">2019-03-19T15:19:00Z</dcterms:modified>
</cp:coreProperties>
</file>